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B" w:rsidRDefault="00DF1DDB" w:rsidP="002A0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2A0E57" w:rsidRPr="006C7358" w:rsidRDefault="003A1EF4" w:rsidP="009B48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Projekt „</w:t>
      </w:r>
      <w:r w:rsidR="00FF472E" w:rsidRPr="006C7358">
        <w:rPr>
          <w:rFonts w:ascii="Times New Roman" w:hAnsi="Times New Roman" w:cs="Times New Roman"/>
          <w:b/>
          <w:sz w:val="48"/>
          <w:szCs w:val="48"/>
        </w:rPr>
        <w:t xml:space="preserve"> Nové biotechnologické produkty ÚEB AVČR</w:t>
      </w: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“</w:t>
      </w:r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9B4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na </w:t>
      </w:r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podporu </w:t>
      </w:r>
      <w:proofErr w:type="spellStart"/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pre-seed</w:t>
      </w:r>
      <w:proofErr w:type="spellEnd"/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aktivit</w:t>
      </w: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získal dotaci</w:t>
      </w:r>
      <w:r w:rsidR="006C7358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6C7358" w:rsidRPr="006C735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z programu OP </w:t>
      </w:r>
      <w:proofErr w:type="spellStart"/>
      <w:r w:rsidR="006C7358" w:rsidRPr="006C735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VaVpI</w:t>
      </w:r>
      <w:proofErr w:type="spellEnd"/>
    </w:p>
    <w:p w:rsidR="002A0E57" w:rsidRPr="0064272D" w:rsidRDefault="00FF472E" w:rsidP="0064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</w:t>
      </w:r>
      <w:r w:rsidR="002A0E57"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</w:t>
      </w:r>
      <w:r w:rsidRPr="00FF472E">
        <w:rPr>
          <w:rFonts w:ascii="Times New Roman" w:hAnsi="Times New Roman" w:cs="Times New Roman"/>
          <w:b/>
          <w:sz w:val="24"/>
          <w:szCs w:val="24"/>
        </w:rPr>
        <w:t>Nové biotechnologické produkty ÚEB AVČR</w:t>
      </w:r>
      <w:r w:rsidR="002A0E57"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42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 připrave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785A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pracovištích </w:t>
      </w:r>
      <w:r w:rsidR="00413856">
        <w:rPr>
          <w:rFonts w:ascii="Times New Roman" w:hAnsi="Times New Roman" w:cs="Times New Roman"/>
          <w:b/>
          <w:sz w:val="24"/>
          <w:szCs w:val="24"/>
        </w:rPr>
        <w:t>Ústavu experimentální botaniky AV ČR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, a to v Olomouci - </w:t>
      </w:r>
      <w:proofErr w:type="spellStart"/>
      <w:r w:rsidRPr="00FF472E">
        <w:rPr>
          <w:rFonts w:ascii="Times New Roman" w:hAnsi="Times New Roman" w:cs="Times New Roman"/>
          <w:b/>
          <w:sz w:val="24"/>
          <w:szCs w:val="24"/>
        </w:rPr>
        <w:t>Holici</w:t>
      </w:r>
      <w:proofErr w:type="spellEnd"/>
      <w:r w:rsidRPr="00FF472E">
        <w:rPr>
          <w:rFonts w:ascii="Times New Roman" w:hAnsi="Times New Roman" w:cs="Times New Roman"/>
          <w:b/>
          <w:sz w:val="24"/>
          <w:szCs w:val="24"/>
        </w:rPr>
        <w:t xml:space="preserve"> (LRR: Šlechtitel</w:t>
      </w:r>
      <w:r w:rsidR="00785A89">
        <w:rPr>
          <w:rFonts w:ascii="Times New Roman" w:hAnsi="Times New Roman" w:cs="Times New Roman"/>
          <w:b/>
          <w:sz w:val="24"/>
          <w:szCs w:val="24"/>
        </w:rPr>
        <w:t>ů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11, 783 71 Olomouc) a ve</w:t>
      </w:r>
      <w:r w:rsidR="0064272D">
        <w:rPr>
          <w:rFonts w:ascii="Arial" w:hAnsi="Arial" w:cs="Arial"/>
          <w:sz w:val="18"/>
          <w:szCs w:val="18"/>
        </w:rPr>
        <w:t xml:space="preserve"> </w:t>
      </w:r>
      <w:r w:rsidRPr="00FF472E">
        <w:rPr>
          <w:rFonts w:ascii="Times New Roman" w:hAnsi="Times New Roman" w:cs="Times New Roman"/>
          <w:b/>
          <w:sz w:val="24"/>
          <w:szCs w:val="24"/>
        </w:rPr>
        <w:t>Výzkumné stanici St</w:t>
      </w:r>
      <w:r w:rsidR="002001A3">
        <w:rPr>
          <w:rFonts w:ascii="Times New Roman" w:hAnsi="Times New Roman" w:cs="Times New Roman"/>
          <w:b/>
          <w:sz w:val="24"/>
          <w:szCs w:val="24"/>
        </w:rPr>
        <w:t>ř</w:t>
      </w:r>
      <w:r w:rsidRPr="00FF472E">
        <w:rPr>
          <w:rFonts w:ascii="Times New Roman" w:hAnsi="Times New Roman" w:cs="Times New Roman"/>
          <w:b/>
          <w:sz w:val="24"/>
          <w:szCs w:val="24"/>
        </w:rPr>
        <w:t>ížovice u Liberce.</w:t>
      </w:r>
      <w:r w:rsidR="0064272D">
        <w:rPr>
          <w:rFonts w:ascii="Arial" w:hAnsi="Arial" w:cs="Arial"/>
          <w:sz w:val="18"/>
          <w:szCs w:val="18"/>
        </w:rPr>
        <w:t xml:space="preserve"> </w:t>
      </w:r>
      <w:r w:rsidRPr="00FF472E">
        <w:rPr>
          <w:rFonts w:ascii="Times New Roman" w:hAnsi="Times New Roman" w:cs="Times New Roman"/>
          <w:b/>
          <w:sz w:val="24"/>
          <w:szCs w:val="24"/>
        </w:rPr>
        <w:t>Projekt</w:t>
      </w:r>
      <w:r w:rsidR="0064272D">
        <w:rPr>
          <w:rFonts w:ascii="Times New Roman" w:hAnsi="Times New Roman" w:cs="Times New Roman"/>
          <w:b/>
          <w:sz w:val="24"/>
          <w:szCs w:val="24"/>
        </w:rPr>
        <w:t xml:space="preserve"> bude mít dopad ve dvou krajích, a to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olomouckém a libereckém.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Tento projekt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získal dotační podporu z programu O</w:t>
      </w:r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peračního programu Výzkum a vývoj pro </w:t>
      </w:r>
      <w:proofErr w:type="gramStart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( OP</w:t>
      </w:r>
      <w:proofErr w:type="gramEnd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VaV</w:t>
      </w:r>
      <w:r w:rsidR="00200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proofErr w:type="spellEnd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která umožní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techn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ologické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dopracování komerčně nadějných výsle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dků výzkumu a vývoje obou pracovišť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jejich příp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ravu 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budoucí komercializaci. Závěrem roku 2013 </w:t>
      </w:r>
      <w:r w:rsidR="00642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MŠMT vyda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Rozhodnutí o poskytnutí dotace na tento projekt.</w:t>
      </w:r>
    </w:p>
    <w:p w:rsidR="002A0E57" w:rsidRPr="006C7358" w:rsidRDefault="009664FF" w:rsidP="006C7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obou výzkumných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jednotkách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vytipovány výsledky, které jsou potenciálně zajímavé pro využití firmami v ČR a v zahraničí. Před nabídnutím potenciálním zájemcům je nutné provést jejich dopracování, ověření výsledků výzkumu testováním, ověření technické proveditelnosti, 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 nutno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sestavit plán komercializace, způsob ochrany průmyslového vlastnictv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í, ověření komerční stránky, atd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 xml:space="preserve">Projekt je provázen mnoha aktivitami souvisejícími s budováním kapacit pro efektivní transfer technologií a vytváření mechanismů pro využití příjmů z komerční činnosti pro další rozvoj </w:t>
      </w:r>
      <w:proofErr w:type="spellStart"/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>pre-seed</w:t>
      </w:r>
      <w:proofErr w:type="spellEnd"/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 xml:space="preserve"> aktivit na ÚEB AVČR.</w:t>
      </w:r>
    </w:p>
    <w:p w:rsidR="00E86171" w:rsidRDefault="002A0E57" w:rsidP="00E8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Na tyto činnosti budou v letech 2014 -</w:t>
      </w:r>
      <w:r w:rsidR="00785A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2015 použity prostředky ve výši </w:t>
      </w:r>
      <w:r w:rsidR="00785A89">
        <w:t xml:space="preserve">24 746 455,-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3856" w:rsidRDefault="00E86171" w:rsidP="00E8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 </w:t>
      </w:r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3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proofErr w:type="gramStart"/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85A89" w:rsidRPr="00E86171">
        <w:rPr>
          <w:rFonts w:ascii="Times New Roman" w:hAnsi="Times New Roman" w:cs="Times New Roman"/>
          <w:sz w:val="24"/>
          <w:szCs w:val="24"/>
        </w:rPr>
        <w:t>trukturální</w:t>
      </w:r>
      <w:r w:rsidR="00413856">
        <w:rPr>
          <w:rFonts w:ascii="Times New Roman" w:hAnsi="Times New Roman" w:cs="Times New Roman"/>
          <w:sz w:val="24"/>
          <w:szCs w:val="24"/>
        </w:rPr>
        <w:t>ch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 fond</w:t>
      </w:r>
      <w:r w:rsidR="00413856">
        <w:rPr>
          <w:rFonts w:ascii="Times New Roman" w:hAnsi="Times New Roman" w:cs="Times New Roman"/>
          <w:sz w:val="24"/>
          <w:szCs w:val="24"/>
        </w:rPr>
        <w:t>ů</w:t>
      </w:r>
      <w:proofErr w:type="gramEnd"/>
      <w:r w:rsidR="00413856">
        <w:rPr>
          <w:rFonts w:ascii="Times New Roman" w:hAnsi="Times New Roman" w:cs="Times New Roman"/>
          <w:sz w:val="24"/>
          <w:szCs w:val="24"/>
        </w:rPr>
        <w:t xml:space="preserve"> EU přes 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 21 </w:t>
      </w:r>
      <w:r w:rsidR="00413856">
        <w:rPr>
          <w:rFonts w:ascii="Times New Roman" w:hAnsi="Times New Roman" w:cs="Times New Roman"/>
          <w:sz w:val="24"/>
          <w:szCs w:val="24"/>
        </w:rPr>
        <w:t>mil.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Kč,  </w:t>
      </w:r>
    </w:p>
    <w:p w:rsidR="00E86171" w:rsidRDefault="00413856" w:rsidP="00413856">
      <w:pPr>
        <w:pStyle w:val="Odstavecseseznamem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A89" w:rsidRPr="00413856">
        <w:rPr>
          <w:rFonts w:ascii="Times New Roman" w:hAnsi="Times New Roman" w:cs="Times New Roman"/>
          <w:sz w:val="24"/>
          <w:szCs w:val="24"/>
        </w:rPr>
        <w:t xml:space="preserve">ze státního </w:t>
      </w:r>
      <w:proofErr w:type="gramStart"/>
      <w:r w:rsidR="00785A89" w:rsidRPr="00413856">
        <w:rPr>
          <w:rFonts w:ascii="Times New Roman" w:hAnsi="Times New Roman" w:cs="Times New Roman"/>
          <w:sz w:val="24"/>
          <w:szCs w:val="24"/>
        </w:rPr>
        <w:t xml:space="preserve">rozpočtu   </w:t>
      </w:r>
      <w:r>
        <w:rPr>
          <w:rFonts w:ascii="Times New Roman" w:hAnsi="Times New Roman" w:cs="Times New Roman"/>
          <w:sz w:val="24"/>
          <w:szCs w:val="24"/>
        </w:rPr>
        <w:t>téměř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 mil.</w:t>
      </w:r>
      <w:r w:rsidR="00200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E86171">
        <w:t>.</w:t>
      </w:r>
    </w:p>
    <w:p w:rsidR="002A0E57" w:rsidRPr="002A0E57" w:rsidRDefault="002A0E57" w:rsidP="00E8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prostředků je určena pro činnost realizačního týmu, který bude zajišťovat veškerý kontakt a jednání s firemní sférou a administraci projektu. Tento tým bude pokračovat v činnosti i po skončení projektu a bude provádět obdobn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>ou činnost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další potenciálně komerčně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uplatnitelné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výsledky 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vzešlé z dalšího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výzkumu ÚEB AVČR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86171" w:rsidRDefault="009664FF" w:rsidP="00E86171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obsahuje </w:t>
      </w:r>
      <w:r w:rsid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komerčně nadějných výsledků,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nichž všechny prošly pozitivně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hodnocením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získaly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jednotlivých aktivit bude č</w:t>
      </w:r>
      <w:r>
        <w:rPr>
          <w:rFonts w:ascii="Times New Roman" w:hAnsi="Times New Roman" w:cs="Times New Roman"/>
          <w:color w:val="222222"/>
          <w:sz w:val="24"/>
          <w:szCs w:val="24"/>
        </w:rPr>
        <w:t>innost</w:t>
      </w:r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zaměřena na nové biotechnologické produkty, např. antirevmatika, nové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topoliny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pro rostlinné biotechnologie, nové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fytohormonální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přípravky pro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rejuvenizace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pokožky, cílenou biologickou léčbu leukémie na bázi derivátů fytohormonů,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fytázový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ječmen, nové protizánětlivé látky přírodního původu, nové deriváty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paklitaxelu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>, biotech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nologickou produkci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ginsenosidů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nové odrůdy rezistentních jabloní vůči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strupovistosti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E86171" w:rsidRDefault="002A0E57" w:rsidP="00E8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 fázi realizace projektu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Proof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bookmarkStart w:id="0" w:name="_GoBack"/>
      <w:bookmarkEnd w:id="0"/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drobné ověřování potenciálu všech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 druhé fáze 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(Příprava komercializace)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postoupí ty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významným komerčním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em. V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ýsledky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vybraných aktivit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po dopracování a právní ochraně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nabídnuty potenciálním zájemcům.</w:t>
      </w:r>
    </w:p>
    <w:p w:rsidR="004D4750" w:rsidRPr="00DF1DDB" w:rsidRDefault="002A0E57" w:rsidP="00E86171">
      <w:pPr>
        <w:spacing w:after="0" w:line="240" w:lineRule="auto"/>
        <w:jc w:val="both"/>
        <w:rPr>
          <w:i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první podp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oru tohoto druhu získanou pro ÚEB AVČR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znamená další příležitost pro komerční využití některých výsledků dosaž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ených dlouhodobým výzkumem na ÚEB</w:t>
      </w:r>
      <w:r w:rsidR="004D47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D4750" w:rsidRPr="00DF1D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9" w:rsidRDefault="00AD26E9" w:rsidP="00DF1DDB">
      <w:pPr>
        <w:spacing w:after="0" w:line="240" w:lineRule="auto"/>
      </w:pPr>
      <w:r>
        <w:separator/>
      </w:r>
    </w:p>
  </w:endnote>
  <w:endnote w:type="continuationSeparator" w:id="0">
    <w:p w:rsidR="00AD26E9" w:rsidRDefault="00AD26E9" w:rsidP="00DF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71" w:rsidRDefault="00E8617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48DDC6" wp14:editId="7770AB07">
          <wp:simplePos x="0" y="0"/>
          <wp:positionH relativeFrom="column">
            <wp:posOffset>5118790</wp:posOffset>
          </wp:positionH>
          <wp:positionV relativeFrom="paragraph">
            <wp:posOffset>-434202</wp:posOffset>
          </wp:positionV>
          <wp:extent cx="747423" cy="827694"/>
          <wp:effectExtent l="0" t="0" r="0" b="0"/>
          <wp:wrapNone/>
          <wp:docPr id="41767" name="logo" descr="Ústav experimentální botaniky AV ČR, v. v. i. poznáváme svět rostlin">
            <a:hlinkClick xmlns:a="http://schemas.openxmlformats.org/drawingml/2006/main" r:id="rId1" tooltip="Ústav experimentální botaniky AV ČR, v. v. i. poznáváme svět rostl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67" name="logo" descr="Ústav experimentální botaniky AV ČR, v. v. i. poznáváme svět rostlin">
                    <a:hlinkClick r:id="rId1" tooltip="Ústav experimentální botaniky AV ČR, v. v. i. poznáváme svět rostlin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23" cy="827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750">
      <w:t xml:space="preserve">Kontaktní osoba: Prof. Ing. Miroslav Strnad, CSC, </w:t>
    </w:r>
    <w:proofErr w:type="spellStart"/>
    <w:r w:rsidR="004D4750">
      <w:t>DSc</w:t>
    </w:r>
    <w:proofErr w:type="spellEnd"/>
    <w:r w:rsidR="004D4750">
      <w:t>. – miroslav.</w:t>
    </w:r>
    <w:r w:rsidR="004D4750" w:rsidRPr="004D4750">
      <w:t>strnad@upol.cz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9" w:rsidRDefault="00AD26E9" w:rsidP="00DF1DDB">
      <w:pPr>
        <w:spacing w:after="0" w:line="240" w:lineRule="auto"/>
      </w:pPr>
      <w:r>
        <w:separator/>
      </w:r>
    </w:p>
  </w:footnote>
  <w:footnote w:type="continuationSeparator" w:id="0">
    <w:p w:rsidR="00AD26E9" w:rsidRDefault="00AD26E9" w:rsidP="00DF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DB" w:rsidRDefault="00E86171">
    <w:pPr>
      <w:pStyle w:val="Zhlav"/>
    </w:pPr>
    <w:r w:rsidRPr="00E86171">
      <w:rPr>
        <w:rFonts w:ascii="Times New Roman" w:eastAsia="Lucida Sans Unicode" w:hAnsi="Times New Roman" w:cs="Times New Roman"/>
        <w:noProof/>
        <w:kern w:val="1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9A1E254" wp14:editId="5274AA6C">
          <wp:simplePos x="0" y="0"/>
          <wp:positionH relativeFrom="column">
            <wp:posOffset>229290</wp:posOffset>
          </wp:positionH>
          <wp:positionV relativeFrom="paragraph">
            <wp:posOffset>-385970</wp:posOffset>
          </wp:positionV>
          <wp:extent cx="5144494" cy="1438580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79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337"/>
    <w:multiLevelType w:val="hybridMultilevel"/>
    <w:tmpl w:val="F9A6E932"/>
    <w:lvl w:ilvl="0" w:tplc="C228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57"/>
    <w:rsid w:val="00114461"/>
    <w:rsid w:val="002001A3"/>
    <w:rsid w:val="002A0E57"/>
    <w:rsid w:val="003A1EF4"/>
    <w:rsid w:val="00413856"/>
    <w:rsid w:val="004D4750"/>
    <w:rsid w:val="0064272D"/>
    <w:rsid w:val="006C7358"/>
    <w:rsid w:val="00785A89"/>
    <w:rsid w:val="00821433"/>
    <w:rsid w:val="008A42FB"/>
    <w:rsid w:val="009664FF"/>
    <w:rsid w:val="009B481A"/>
    <w:rsid w:val="00A224E5"/>
    <w:rsid w:val="00AD26E9"/>
    <w:rsid w:val="00C77C67"/>
    <w:rsid w:val="00DF1DDB"/>
    <w:rsid w:val="00E86171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0E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DB"/>
  </w:style>
  <w:style w:type="paragraph" w:styleId="Zpat">
    <w:name w:val="footer"/>
    <w:basedOn w:val="Normln"/>
    <w:link w:val="Zpat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DB"/>
  </w:style>
  <w:style w:type="paragraph" w:styleId="Textbubliny">
    <w:name w:val="Balloon Text"/>
    <w:basedOn w:val="Normln"/>
    <w:link w:val="TextbublinyChar"/>
    <w:uiPriority w:val="99"/>
    <w:semiHidden/>
    <w:unhideWhenUsed/>
    <w:rsid w:val="00D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0E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DB"/>
  </w:style>
  <w:style w:type="paragraph" w:styleId="Zpat">
    <w:name w:val="footer"/>
    <w:basedOn w:val="Normln"/>
    <w:link w:val="Zpat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DB"/>
  </w:style>
  <w:style w:type="paragraph" w:styleId="Textbubliny">
    <w:name w:val="Balloon Text"/>
    <w:basedOn w:val="Normln"/>
    <w:link w:val="TextbublinyChar"/>
    <w:uiPriority w:val="99"/>
    <w:semiHidden/>
    <w:unhideWhenUsed/>
    <w:rsid w:val="00D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eb.cas.cz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Libor Hájek</dc:creator>
  <cp:lastModifiedBy>Ing. Věra Doleželová</cp:lastModifiedBy>
  <cp:revision>4</cp:revision>
  <cp:lastPrinted>2014-02-12T06:41:00Z</cp:lastPrinted>
  <dcterms:created xsi:type="dcterms:W3CDTF">2014-02-11T10:14:00Z</dcterms:created>
  <dcterms:modified xsi:type="dcterms:W3CDTF">2014-02-12T08:06:00Z</dcterms:modified>
</cp:coreProperties>
</file>