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AE3B" w14:textId="77777777" w:rsidR="00D62203" w:rsidRDefault="00892923">
      <w:pPr>
        <w:pStyle w:val="Nadpis1"/>
        <w:numPr>
          <w:ilvl w:val="0"/>
          <w:numId w:val="2"/>
        </w:numPr>
        <w:spacing w:before="0" w:after="119"/>
      </w:pPr>
      <w:r>
        <w:rPr>
          <w:szCs w:val="32"/>
        </w:rPr>
        <w:t>Příloha č. 6 Součinnost</w:t>
      </w:r>
    </w:p>
    <w:p w14:paraId="4024C9C0" w14:textId="77777777" w:rsidR="00D62203" w:rsidRDefault="00892923">
      <w:pPr>
        <w:pStyle w:val="Nadpis2"/>
        <w:numPr>
          <w:ilvl w:val="1"/>
          <w:numId w:val="2"/>
        </w:numPr>
      </w:pPr>
      <w:r>
        <w:t>A. Součinnost navázaná na životní cyklus implementace EIS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46"/>
        <w:gridCol w:w="2723"/>
        <w:gridCol w:w="5669"/>
      </w:tblGrid>
      <w:tr w:rsidR="00D62203" w14:paraId="3FB6D176" w14:textId="77777777">
        <w:trPr>
          <w:cantSplit/>
          <w:trHeight w:val="340"/>
          <w:tblHeader/>
        </w:trPr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bottom"/>
          </w:tcPr>
          <w:p w14:paraId="5E5CAD0E" w14:textId="77777777" w:rsidR="00D62203" w:rsidRDefault="00892923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szCs w:val="22"/>
                <w:lang w:eastAsia="en-US" w:bidi="ar-SA"/>
              </w:rPr>
              <w:t>Etapa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bottom"/>
          </w:tcPr>
          <w:p w14:paraId="2467D7EA" w14:textId="77777777" w:rsidR="00D62203" w:rsidRDefault="00892923">
            <w:pPr>
              <w:rPr>
                <w:rFonts w:ascii="Calibri" w:eastAsia="Times New Roman" w:hAnsi="Calibri" w:cs="Arial"/>
                <w:b/>
                <w:bCs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szCs w:val="22"/>
                <w:lang w:eastAsia="en-US" w:bidi="ar-SA"/>
              </w:rPr>
              <w:t>Klíčové činnosti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bottom"/>
          </w:tcPr>
          <w:p w14:paraId="3ED30014" w14:textId="77777777" w:rsidR="00D62203" w:rsidRDefault="00892923">
            <w:pPr>
              <w:rPr>
                <w:rFonts w:ascii="Calibri" w:eastAsia="Times New Roman" w:hAnsi="Calibri" w:cs="Arial"/>
                <w:b/>
                <w:bCs/>
                <w:color w:val="00000A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A"/>
                <w:szCs w:val="22"/>
                <w:lang w:eastAsia="en-US" w:bidi="ar-SA"/>
              </w:rPr>
              <w:t>Součinnost</w:t>
            </w:r>
          </w:p>
        </w:tc>
      </w:tr>
      <w:tr w:rsidR="00D62203" w14:paraId="4ABF9B41" w14:textId="77777777">
        <w:trPr>
          <w:cantSplit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7FAB" w14:textId="77777777" w:rsidR="00D62203" w:rsidRDefault="00892923">
            <w:pPr>
              <w:jc w:val="center"/>
              <w:rPr>
                <w:rFonts w:ascii="Calibri" w:eastAsia="Times New Roman" w:hAnsi="Calibri" w:cs="Arial"/>
                <w:b/>
                <w:bCs/>
                <w:color w:val="C0504D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C0504D"/>
                <w:szCs w:val="22"/>
                <w:lang w:eastAsia="en-US" w:bidi="ar-SA"/>
              </w:rPr>
              <w:t>Zahájení plnění předmětu smlouvy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C139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Podpis smluv osobou oprávněnou jednat ve věcech smluvních za stranu Objednatele.</w:t>
            </w:r>
          </w:p>
          <w:p w14:paraId="53359C72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 xml:space="preserve">Stanovení osoby odpovědné jednat ve věcech technických (tj. vedoucího projektu za Objednatele). </w:t>
            </w:r>
          </w:p>
        </w:tc>
      </w:tr>
      <w:tr w:rsidR="00D62203" w14:paraId="1B75E177" w14:textId="77777777">
        <w:trPr>
          <w:cantSplit/>
        </w:trPr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33B3DE49" w14:textId="77777777" w:rsidR="00D62203" w:rsidRDefault="00892923">
            <w:pPr>
              <w:rPr>
                <w:rFonts w:ascii="Calibri" w:eastAsia="Times New Roman" w:hAnsi="Calibri" w:cs="Arial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 Prototyp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36FE9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1.1 Iniciace (definice) projektu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90BDE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Jmenování členů týmů za stranu Objednatele (řídící komise, vedení projektu, pracovní týmy).</w:t>
            </w:r>
          </w:p>
          <w:p w14:paraId="5ED935C3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Poskytnutí údajů do komunikační matice.</w:t>
            </w:r>
          </w:p>
          <w:p w14:paraId="4DF06C41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na schůzkách vedení projektu a řídícího výboru.</w:t>
            </w:r>
          </w:p>
        </w:tc>
      </w:tr>
      <w:tr w:rsidR="00D62203" w14:paraId="6047A6C5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145762A2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F9081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1.2. Zpracování Technické studie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792C9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Upřesnění hardwarové infrastruktury poskytované Objednatelem.</w:t>
            </w:r>
          </w:p>
          <w:p w14:paraId="5396EE7A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Upřesnění požadavků na migraci dat a jejich formát.</w:t>
            </w:r>
          </w:p>
        </w:tc>
      </w:tr>
      <w:tr w:rsidR="00D62203" w14:paraId="07241421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37D5B559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F2BF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1.3. Příprava prototypu systému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F53F0" w14:textId="77777777" w:rsidR="00D62203" w:rsidRDefault="00D6220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</w:p>
        </w:tc>
      </w:tr>
      <w:tr w:rsidR="00D62203" w14:paraId="5A9D6823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0E24E5DF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3521C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1.4. Předvedení funkčnosti demonstračními testy systému provedenými Dodavatelem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1DB8F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max. 12 klíčových uživatelů na demonstračních testech.</w:t>
            </w:r>
          </w:p>
          <w:p w14:paraId="5610B931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Potvrzení funkčnosti testovaných částí systému osobou odpovědnou jednat ve věcech technických - vedoucím projektu za Objednatele.</w:t>
            </w:r>
          </w:p>
        </w:tc>
      </w:tr>
      <w:tr w:rsidR="00D62203" w14:paraId="7A31E9F7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63B0F0A9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D7D75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1.5. Proškolení klíčových uživatelů na práci s prototypem standardu systému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2A0DC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max. 12 klíčových uživatelů na školení.</w:t>
            </w:r>
          </w:p>
        </w:tc>
      </w:tr>
      <w:tr w:rsidR="00D62203" w14:paraId="1DBB6CAC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67E9A4F6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A5181" w14:textId="77777777" w:rsidR="00D62203" w:rsidRDefault="00892923">
            <w:r>
              <w:rPr>
                <w:rFonts w:ascii="Calibri" w:eastAsia="Times New Roman" w:hAnsi="Calibri" w:cs="Arial"/>
                <w:color w:val="C0504D"/>
                <w:szCs w:val="22"/>
                <w:lang w:eastAsia="en-US" w:bidi="ar-SA"/>
              </w:rPr>
              <w:t>1.6. Akceptace etapy prototypu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57710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Doporučení vedoucího projektu za Objednatele k akceptaci etapy.</w:t>
            </w:r>
          </w:p>
          <w:p w14:paraId="0875794E" w14:textId="77777777" w:rsidR="00D62203" w:rsidRDefault="00892923">
            <w:bookmarkStart w:id="0" w:name="__DdeLink__28049_2894081782"/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Akceptace osobou odpovědnou jednat ve věcech smluvních.</w:t>
            </w:r>
            <w:bookmarkEnd w:id="0"/>
          </w:p>
        </w:tc>
      </w:tr>
      <w:tr w:rsidR="00D62203" w14:paraId="18440FA6" w14:textId="77777777">
        <w:trPr>
          <w:cantSplit/>
        </w:trPr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3A44B2F7" w14:textId="77777777" w:rsidR="00D62203" w:rsidRDefault="00892923">
            <w:pPr>
              <w:rPr>
                <w:rFonts w:ascii="Calibri" w:eastAsia="Times New Roman" w:hAnsi="Calibri" w:cs="Arial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2. Návrh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27535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2.1. Analýza impl. požadavků na úpravy a doplnění prototypu za všechny oblasti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77D66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na analytických schůzkách.</w:t>
            </w:r>
          </w:p>
          <w:p w14:paraId="2582715F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Kontrola úplnosti a správnosti zápisů ze schůzek.</w:t>
            </w:r>
          </w:p>
        </w:tc>
      </w:tr>
      <w:tr w:rsidR="00D62203" w14:paraId="13311F22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6190762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CF74C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2.2. Detailní návrh (návrh řešení implementačních požadavků)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7D709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Kontrola úplnosti a správnosti Detailního návrhu vůči zápisům ze schůzek.</w:t>
            </w:r>
          </w:p>
        </w:tc>
      </w:tr>
      <w:tr w:rsidR="00D62203" w14:paraId="2C7424D7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E840AEF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44A6B" w14:textId="77777777" w:rsidR="00D62203" w:rsidRDefault="00892923">
            <w:r>
              <w:rPr>
                <w:rFonts w:ascii="Calibri" w:eastAsia="Times New Roman" w:hAnsi="Calibri" w:cs="Arial"/>
                <w:color w:val="C0504D"/>
                <w:szCs w:val="22"/>
                <w:lang w:eastAsia="en-US" w:bidi="ar-SA"/>
              </w:rPr>
              <w:t>2.3. Akceptace etapy návrhu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7AB4F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Doporučení vedoucího projektu za Objednatele k akceptaci etapy.</w:t>
            </w:r>
          </w:p>
          <w:p w14:paraId="1603D7A2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Akceptace osobou odpovědnou jednat ve věcech smluvních.</w:t>
            </w:r>
          </w:p>
        </w:tc>
      </w:tr>
      <w:tr w:rsidR="00D62203" w14:paraId="303CA9A9" w14:textId="77777777">
        <w:trPr>
          <w:cantSplit/>
        </w:trPr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7EB60E6A" w14:textId="77777777" w:rsidR="00D62203" w:rsidRDefault="00892923">
            <w:pPr>
              <w:rPr>
                <w:rFonts w:ascii="Calibri" w:eastAsia="Times New Roman" w:hAnsi="Calibri" w:cs="Arial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 Imple-mentace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3EF32" w14:textId="25707CFE" w:rsidR="00D62203" w:rsidRDefault="005B1199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3.1. Realizace D</w:t>
            </w:r>
            <w:r w:rsidR="00892923">
              <w:rPr>
                <w:rFonts w:ascii="Calibri" w:eastAsia="Times New Roman" w:hAnsi="Calibri" w:cs="Arial"/>
                <w:szCs w:val="22"/>
                <w:lang w:eastAsia="en-US" w:bidi="ar-SA"/>
              </w:rPr>
              <w:t>etailního návrhu Dodavatelem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2037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Konzultace parametrů technického prostředí.</w:t>
            </w:r>
          </w:p>
        </w:tc>
      </w:tr>
      <w:tr w:rsidR="00D62203" w14:paraId="1E5CDE68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22457D68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8BD6B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3.2. Vytvoření testovací a ostré produktivní hardwarové infrastruktury Objednatelem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7AC62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Nastavení hardwarové infrastruktury dle požadavků dohodnutých v Technické studii.</w:t>
            </w:r>
          </w:p>
        </w:tc>
      </w:tr>
      <w:tr w:rsidR="00D62203" w14:paraId="1AD891BE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6BCCF519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3BE90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 xml:space="preserve">3.3. Předvedení funkčnosti základními testy systému provedenými </w:t>
            </w:r>
            <w:r>
              <w:rPr>
                <w:rFonts w:ascii="Calibri" w:eastAsia="Times New Roman" w:hAnsi="Calibri" w:cs="Times New Roman"/>
                <w:szCs w:val="22"/>
                <w:lang w:eastAsia="en-US" w:bidi="ar-SA"/>
              </w:rPr>
              <w:t>Dodavatelem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2652B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Uvolnění technické infrastruktury pro instalaci systému do testovacího prostředí.</w:t>
            </w:r>
          </w:p>
          <w:p w14:paraId="58BFE7B4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Předání vzorků testovacích dat.</w:t>
            </w:r>
          </w:p>
          <w:p w14:paraId="5528D05C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klíčových uživatelů na základních (jednotkových) testech.</w:t>
            </w:r>
          </w:p>
          <w:p w14:paraId="19CE4FD0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Potvrzení funkčnosti testovaných částí systému.</w:t>
            </w:r>
          </w:p>
        </w:tc>
      </w:tr>
      <w:tr w:rsidR="00D62203" w14:paraId="49A23CDA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015BDBD3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CF12A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3.4. Navržení katalogu servisních služeb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A4FC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Kontrola úplnosti a správnosti Katalogu služeb vůči servisní smlouvě.</w:t>
            </w:r>
          </w:p>
        </w:tc>
      </w:tr>
      <w:tr w:rsidR="00D62203" w14:paraId="1BA3ECB9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700540D9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5B3E1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3.5. Zpracování uživatelské a systémové příručky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279B5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Kontrola obsahu příruček klíčovými uživateli.</w:t>
            </w:r>
          </w:p>
        </w:tc>
      </w:tr>
      <w:tr w:rsidR="00D62203" w14:paraId="5F743891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7ABD321F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8C2F3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3.6. Školení uživatelů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BCF7F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Účast uživatelů na školení - 12 uživatelů na mzdový a ekonomický subsystém, 30 uživatelů na ekonomický subsystém a veškeré další subsystémy, které tvoří EKIS.</w:t>
            </w:r>
          </w:p>
        </w:tc>
      </w:tr>
      <w:tr w:rsidR="00D62203" w14:paraId="1B39A113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08AAEF11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2113B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3.7. Integrační testy systému provedené klíčovými uživateli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BC4CD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Provedení testů klíčovými uživateli s vyznačením výsledku testů.</w:t>
            </w:r>
          </w:p>
        </w:tc>
      </w:tr>
      <w:tr w:rsidR="00D62203" w14:paraId="0B536892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0CE51D03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6BE07" w14:textId="77777777" w:rsidR="00D62203" w:rsidRDefault="00892923">
            <w:r>
              <w:rPr>
                <w:rFonts w:ascii="Calibri" w:hAnsi="Calibri"/>
                <w:szCs w:val="22"/>
              </w:rPr>
              <w:t>3.8. Migrace dat (mzdy a personalistika)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4E663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Uvolnění technické infrastruktury pro instalaci systému do ostrého prostředí.</w:t>
            </w:r>
          </w:p>
          <w:p w14:paraId="2D07479F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Předání mzdových a personálních dat k migraci v dohodnutém formátu a struktuře.</w:t>
            </w:r>
          </w:p>
        </w:tc>
      </w:tr>
      <w:tr w:rsidR="00D62203" w14:paraId="3ACBB176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19DF594C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16B30" w14:textId="77777777" w:rsidR="00D62203" w:rsidRDefault="00892923">
            <w:r>
              <w:rPr>
                <w:rFonts w:ascii="Calibri" w:hAnsi="Calibri"/>
                <w:color w:val="000000"/>
                <w:szCs w:val="22"/>
              </w:rPr>
              <w:t>3.9. Ověřovací provoz mezd a personalistiky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9DB38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Předávání požadavků na odstranění vad a nedodělků.</w:t>
            </w:r>
          </w:p>
        </w:tc>
      </w:tr>
      <w:tr w:rsidR="00D62203" w14:paraId="37DCBA22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3363C599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04E3C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3.10. Migrace dat základní (EIS mimo mezd a personalistiky)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60A7F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Uvolnění technické infrastruktury pro instalaci systému do ostrého (tj. produktivního) prostředí.</w:t>
            </w:r>
          </w:p>
          <w:p w14:paraId="312D748B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Předání ekonomických dat k migraci v dohodnutém formátu a struktuře.</w:t>
            </w:r>
          </w:p>
        </w:tc>
      </w:tr>
      <w:tr w:rsidR="00D62203" w14:paraId="32AF6BD8" w14:textId="77777777">
        <w:trPr>
          <w:cantSplit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14:paraId="29DD88B0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195B7" w14:textId="77777777" w:rsidR="00D62203" w:rsidRDefault="00892923">
            <w:r>
              <w:rPr>
                <w:rFonts w:ascii="Calibri" w:eastAsia="Times New Roman" w:hAnsi="Calibri" w:cs="Arial"/>
                <w:color w:val="C0504D"/>
                <w:szCs w:val="22"/>
                <w:lang w:eastAsia="en-US" w:bidi="ar-SA"/>
              </w:rPr>
              <w:t>3.11. Akceptace etapy implementace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955CA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Doporučení vedoucího projektu za Objednatele k akceptaci etapy.</w:t>
            </w:r>
          </w:p>
          <w:p w14:paraId="3D0CE4B9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Akceptace osobou odpovědnou jednat ve věcech smluvních.</w:t>
            </w:r>
          </w:p>
        </w:tc>
      </w:tr>
      <w:tr w:rsidR="00D62203" w14:paraId="43B31B1C" w14:textId="77777777">
        <w:trPr>
          <w:cantSplit/>
          <w:trHeight w:val="800"/>
        </w:trPr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0EC900C2" w14:textId="77777777" w:rsidR="00D62203" w:rsidRDefault="00892923">
            <w:pPr>
              <w:rPr>
                <w:rFonts w:ascii="Calibri" w:eastAsia="Times New Roman" w:hAnsi="Calibri" w:cs="Arial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4. Imple-mentační dozor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ECA4C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4.1. Zahájení ostrého provozu systému, nabytí licencí, zahájení poskytování servisních služeb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3ABD0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Rozhodnutí o zahájení ostrého provozu na základě výsledku akceptace etapy implementace.</w:t>
            </w:r>
          </w:p>
        </w:tc>
      </w:tr>
      <w:tr w:rsidR="00D62203" w14:paraId="2BB22609" w14:textId="77777777">
        <w:trPr>
          <w:cantSplit/>
          <w:trHeight w:val="540"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4923E520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9E24F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4.2. Domigrování všech dat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B9078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Předání dat k automatické migraci případně ruční doplnění vybraných dat.</w:t>
            </w:r>
          </w:p>
        </w:tc>
      </w:tr>
      <w:tr w:rsidR="00D62203" w14:paraId="74DCF108" w14:textId="77777777">
        <w:trPr>
          <w:cantSplit/>
          <w:trHeight w:val="340"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C69EF6C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2FF5E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 xml:space="preserve">4.3. Ostrý provoz s implementačním dozorem </w:t>
            </w:r>
            <w:r>
              <w:rPr>
                <w:rFonts w:ascii="Calibri" w:eastAsia="Times New Roman" w:hAnsi="Calibri" w:cs="Times New Roman"/>
                <w:szCs w:val="22"/>
                <w:lang w:eastAsia="en-US" w:bidi="ar-SA"/>
              </w:rPr>
              <w:t>Dodavatele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B79CF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Zadávání požadavků na odstranění provozních vad a nedodělků.</w:t>
            </w:r>
          </w:p>
        </w:tc>
      </w:tr>
      <w:tr w:rsidR="00D62203" w14:paraId="52320EF5" w14:textId="77777777">
        <w:trPr>
          <w:cantSplit/>
          <w:trHeight w:val="340"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5B17C367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03E3B" w14:textId="77777777" w:rsidR="00D62203" w:rsidRDefault="00892923">
            <w:r>
              <w:rPr>
                <w:rFonts w:ascii="Calibri" w:eastAsia="Times New Roman" w:hAnsi="Calibri" w:cs="Arial"/>
                <w:szCs w:val="22"/>
                <w:lang w:eastAsia="en-US" w:bidi="ar-SA"/>
              </w:rPr>
              <w:t>4.4. Zpráva Dodavatele o odstranění případných provozních vad a nedodělků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021EB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Kontrola souladu zprávy se zadanými požadavky.</w:t>
            </w:r>
          </w:p>
        </w:tc>
      </w:tr>
      <w:tr w:rsidR="00D62203" w14:paraId="6AD56222" w14:textId="77777777">
        <w:trPr>
          <w:cantSplit/>
          <w:trHeight w:val="540"/>
        </w:trPr>
        <w:tc>
          <w:tcPr>
            <w:tcW w:w="1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6574BDFE" w14:textId="77777777" w:rsidR="00D62203" w:rsidRDefault="00D62203"/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9B62E" w14:textId="77777777" w:rsidR="00D62203" w:rsidRDefault="00892923">
            <w:r>
              <w:rPr>
                <w:rFonts w:ascii="Calibri" w:eastAsia="Times New Roman" w:hAnsi="Calibri" w:cs="Arial"/>
                <w:color w:val="C0504D"/>
                <w:szCs w:val="22"/>
                <w:lang w:eastAsia="en-US" w:bidi="ar-SA"/>
              </w:rPr>
              <w:t>4.5. Akceptace etapy implementačního dozoru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ED4AE" w14:textId="77777777" w:rsidR="00D62203" w:rsidRDefault="00892923">
            <w:pPr>
              <w:rPr>
                <w:rFonts w:ascii="Calibri" w:eastAsia="Arial Unicode MS" w:hAnsi="Calibri" w:cs="Arial Unicode MS"/>
                <w:color w:val="00000A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Doporučení vedoucího projektu za Objednatele k akceptaci etapy.</w:t>
            </w:r>
          </w:p>
          <w:p w14:paraId="12F20C7A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Akceptace osobou odpovědnou jednat ve věcech smluvních.</w:t>
            </w:r>
          </w:p>
        </w:tc>
      </w:tr>
      <w:tr w:rsidR="00D62203" w14:paraId="71201DF3" w14:textId="77777777">
        <w:trPr>
          <w:cantSplit/>
          <w:trHeight w:val="540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2ACF0" w14:textId="77777777" w:rsidR="00D62203" w:rsidRDefault="00892923">
            <w:pPr>
              <w:jc w:val="center"/>
            </w:pPr>
            <w:r>
              <w:rPr>
                <w:rFonts w:ascii="Calibri" w:eastAsia="Times New Roman" w:hAnsi="Calibri" w:cs="Arial"/>
                <w:b/>
                <w:bCs/>
                <w:color w:val="C0504D"/>
                <w:szCs w:val="22"/>
                <w:lang w:eastAsia="en-US" w:bidi="ar-SA"/>
              </w:rPr>
              <w:t>Akceptace Díla jako celku</w:t>
            </w:r>
          </w:p>
          <w:p w14:paraId="28512CF6" w14:textId="77777777" w:rsidR="00D62203" w:rsidRDefault="00892923">
            <w:pPr>
              <w:rPr>
                <w:rFonts w:ascii="Calibri" w:eastAsia="Times New Roman" w:hAnsi="Calibri" w:cs="Arial"/>
                <w:b/>
                <w:bCs/>
                <w:color w:val="C0504D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C0504D"/>
                <w:szCs w:val="22"/>
                <w:lang w:eastAsia="en-US" w:bidi="ar-SA"/>
              </w:rPr>
              <w:t xml:space="preserve">                        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68E91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Doporučení vedoucího projektu za Objednatele k akceptaci díla jako celku.</w:t>
            </w:r>
          </w:p>
          <w:p w14:paraId="4108292B" w14:textId="77777777" w:rsidR="00D62203" w:rsidRDefault="00892923">
            <w:r>
              <w:rPr>
                <w:rFonts w:ascii="Calibri" w:eastAsia="Arial Unicode MS" w:hAnsi="Calibri" w:cs="Arial Unicode MS"/>
                <w:color w:val="00000A"/>
                <w:szCs w:val="22"/>
              </w:rPr>
              <w:t>Akceptace osobou odpovědnou jednat ve věcech smluvních.</w:t>
            </w:r>
          </w:p>
        </w:tc>
        <w:bookmarkStart w:id="1" w:name="_GoBack"/>
        <w:bookmarkEnd w:id="1"/>
      </w:tr>
    </w:tbl>
    <w:p w14:paraId="7829F07B" w14:textId="77777777" w:rsidR="00D62203" w:rsidRDefault="00892923">
      <w:pPr>
        <w:pStyle w:val="Nadpis2"/>
        <w:numPr>
          <w:ilvl w:val="1"/>
          <w:numId w:val="2"/>
        </w:numPr>
      </w:pPr>
      <w:r>
        <w:lastRenderedPageBreak/>
        <w:t xml:space="preserve">B. </w:t>
      </w:r>
      <w:bookmarkStart w:id="2" w:name="__DdeLink__2598_1717062050"/>
      <w:r>
        <w:t>Technická infrastruktura</w:t>
      </w:r>
      <w:bookmarkEnd w:id="2"/>
    </w:p>
    <w:p w14:paraId="7BFB8C9A" w14:textId="77777777" w:rsidR="00D62203" w:rsidRDefault="00892923">
      <w:r>
        <w:t xml:space="preserve">Objednatel v rámci součinnosti připraví hardwarovou infrastrukturu potřebnou pro provoz Ekonomického informačního systému. K tomuto účelu Dodavatel navrhne konfiguraci hardwarové infrastruktury v rámci zpracování plnění etapy č.1 - </w:t>
      </w:r>
      <w:r>
        <w:rPr>
          <w:i/>
          <w:iCs/>
        </w:rPr>
        <w:t>Prototyp</w:t>
      </w:r>
      <w:r>
        <w:t xml:space="preserve"> v dokumentu Technická studie. </w:t>
      </w:r>
      <w:r>
        <w:rPr>
          <w:b/>
          <w:bCs/>
        </w:rPr>
        <w:t>Dodavatel se zavazuje při zpracování Technické studie v maximální možné míře vycházet z disponibilní (tj. stávající výchozí) hardwarové infrastruktury Objednatele popsané níže v textu a Objednatel se zavazuje infrastrukturu upravit tak, aby byla připravena pro provoz Ekonomického informačního systému podle oprávněných požadavků Dodavatele.</w:t>
      </w:r>
      <w:r>
        <w:t xml:space="preserve"> Oprávněnými požadavky Dodavatele se rozumí takové požadavky na konfiguraci, změny či rozšíření disponibilní infrastruktury Objednatele, které jsou nezbytné pro řádný provoz implementovaného Ekonomického informačního systému.</w:t>
      </w:r>
    </w:p>
    <w:p w14:paraId="7C4DDBC4" w14:textId="77777777" w:rsidR="00D62203" w:rsidRDefault="00D62203"/>
    <w:p w14:paraId="51F4D6BA" w14:textId="77777777" w:rsidR="00D62203" w:rsidRDefault="00892923">
      <w:r>
        <w:t xml:space="preserve">Fyzikální ústav Akademie věd ČR, v. v. i. má pro provoz informačního systému k dispozici hardwa-rovou infrastrukturu umístěnou a provozovanou ve Středisku společných činností AV ČR, v. v. i. </w:t>
      </w:r>
    </w:p>
    <w:p w14:paraId="38DE8665" w14:textId="77777777" w:rsidR="00D62203" w:rsidRDefault="00892923">
      <w:r>
        <w:t xml:space="preserve">Současná infrastruktura je navržena pro systém splňující třívrstvou architekturu (oddělená databázová, aplikační a prezentační vrstva). Splnění této architektury není na Dodavateli požadováno a níže </w:t>
      </w:r>
      <w:r>
        <w:rPr>
          <w:b/>
          <w:bCs/>
        </w:rPr>
        <w:t>uvedený popis slouží k ilustraci výchozího infrastrukturního prostředí Objednatele, které bude upraveno podle návrhu Dodavatele provedeného v rámci Technické studie</w:t>
      </w:r>
      <w:r>
        <w:t xml:space="preserve">. </w:t>
      </w:r>
    </w:p>
    <w:p w14:paraId="4BD6AEF3" w14:textId="77777777" w:rsidR="00D62203" w:rsidRDefault="00892923">
      <w:pPr>
        <w:pStyle w:val="Nadpis3"/>
        <w:numPr>
          <w:ilvl w:val="2"/>
          <w:numId w:val="2"/>
        </w:numPr>
      </w:pPr>
      <w:r>
        <w:t>Současná výchozí infrastruktura Objednatele:</w:t>
      </w:r>
    </w:p>
    <w:p w14:paraId="06028D74" w14:textId="77777777" w:rsidR="00D62203" w:rsidRDefault="00892923">
      <w:pPr>
        <w:pStyle w:val="Nadpis3"/>
        <w:numPr>
          <w:ilvl w:val="2"/>
          <w:numId w:val="2"/>
        </w:numPr>
      </w:pPr>
      <w:r>
        <w:t>Serverovna</w:t>
      </w:r>
    </w:p>
    <w:p w14:paraId="2AF94135" w14:textId="77777777" w:rsidR="00D62203" w:rsidRDefault="00892923">
      <w:pPr>
        <w:pStyle w:val="Nadpis4"/>
        <w:numPr>
          <w:ilvl w:val="3"/>
          <w:numId w:val="2"/>
        </w:numPr>
        <w:spacing w:before="0"/>
      </w:pPr>
      <w:r>
        <w:t>Umístění</w:t>
      </w:r>
    </w:p>
    <w:p w14:paraId="37474C38" w14:textId="77777777" w:rsidR="00D62203" w:rsidRDefault="00892923">
      <w:r>
        <w:t>Mazanka, Za Vodárnou 1, Praha 8 (primární uzel)</w:t>
      </w:r>
    </w:p>
    <w:p w14:paraId="4543E280" w14:textId="77777777" w:rsidR="00D62203" w:rsidRDefault="00892923">
      <w:r>
        <w:t>UTIA, Pod vodárenskou věží 4, Praha 8 (záložní uzel).</w:t>
      </w:r>
    </w:p>
    <w:p w14:paraId="58552064" w14:textId="77777777" w:rsidR="00D62203" w:rsidRDefault="00892923">
      <w:pPr>
        <w:pStyle w:val="Nadpis4"/>
        <w:numPr>
          <w:ilvl w:val="3"/>
          <w:numId w:val="2"/>
        </w:numPr>
      </w:pPr>
      <w:r>
        <w:t>Servery</w:t>
      </w:r>
    </w:p>
    <w:p w14:paraId="54C878A4" w14:textId="77777777" w:rsidR="00D62203" w:rsidRDefault="00892923">
      <w:pPr>
        <w:spacing w:after="113"/>
      </w:pPr>
      <w:r>
        <w:t xml:space="preserve">Blade řešení od společnosti IBM (BladeCentrum H) a Cisco (UCS Mini). Veškeré kritické komponenty jsou redundantní a splňují specifikaci vysoké dostupnosti (HA). </w:t>
      </w:r>
    </w:p>
    <w:p w14:paraId="29C8FD07" w14:textId="77777777" w:rsidR="00D62203" w:rsidRDefault="00892923">
      <w:pPr>
        <w:keepNext/>
      </w:pPr>
      <w:r>
        <w:t xml:space="preserve">Fyzické servery: </w:t>
      </w:r>
    </w:p>
    <w:tbl>
      <w:tblPr>
        <w:tblW w:w="96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0"/>
        <w:gridCol w:w="2798"/>
        <w:gridCol w:w="3630"/>
      </w:tblGrid>
      <w:tr w:rsidR="00D62203" w14:paraId="23218EBA" w14:textId="77777777">
        <w:trPr>
          <w:cantSplit/>
        </w:trPr>
        <w:tc>
          <w:tcPr>
            <w:tcW w:w="32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9FBA08" w14:textId="77777777" w:rsidR="00D62203" w:rsidRDefault="00892923">
            <w:pPr>
              <w:keepNext/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Databázový server</w:t>
            </w: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B07921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23D7FB" w14:textId="77777777" w:rsidR="00D62203" w:rsidRDefault="00892923">
            <w:pPr>
              <w:spacing w:line="252" w:lineRule="auto"/>
              <w:jc w:val="both"/>
            </w:pPr>
            <w:r>
              <w:t>Blade HS23 MT-7875</w:t>
            </w:r>
          </w:p>
        </w:tc>
      </w:tr>
      <w:tr w:rsidR="00D62203" w14:paraId="0097EB5D" w14:textId="77777777">
        <w:trPr>
          <w:cantSplit/>
        </w:trPr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6D478A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5E6E65" w14:textId="77777777" w:rsidR="00D62203" w:rsidRDefault="00892923">
            <w:pPr>
              <w:spacing w:line="252" w:lineRule="auto"/>
              <w:jc w:val="both"/>
              <w:rPr>
                <w:rFonts w:ascii="0" w:hAnsi="0" w:hint="eastAsia"/>
                <w:b/>
                <w:bCs/>
              </w:rPr>
            </w:pPr>
            <w:r>
              <w:rPr>
                <w:rFonts w:ascii="0" w:hAnsi="0"/>
                <w:b/>
                <w:bCs/>
              </w:rPr>
              <w:t>Počet a typ CPU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1BDFCCB" w14:textId="77777777" w:rsidR="00D62203" w:rsidRDefault="00892923">
            <w:pPr>
              <w:spacing w:line="252" w:lineRule="auto"/>
              <w:jc w:val="both"/>
            </w:pPr>
            <w:r>
              <w:t>2x Intel Xeon, 2.5GHz, 6 cores</w:t>
            </w:r>
          </w:p>
        </w:tc>
      </w:tr>
      <w:tr w:rsidR="00D62203" w14:paraId="2932F74F" w14:textId="77777777">
        <w:trPr>
          <w:cantSplit/>
        </w:trPr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2D0CAD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4C2409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RAM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0F54BF" w14:textId="77777777" w:rsidR="00D62203" w:rsidRDefault="00892923">
            <w:pPr>
              <w:spacing w:line="252" w:lineRule="auto"/>
              <w:jc w:val="both"/>
            </w:pPr>
            <w:r>
              <w:t>160GB</w:t>
            </w:r>
          </w:p>
        </w:tc>
      </w:tr>
      <w:tr w:rsidR="00D62203" w14:paraId="6F74EAE5" w14:textId="77777777">
        <w:trPr>
          <w:cantSplit/>
        </w:trPr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4655F6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5C840D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Disková kapacita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2BDB6" w14:textId="77777777" w:rsidR="00D62203" w:rsidRDefault="00892923">
            <w:pPr>
              <w:spacing w:line="252" w:lineRule="auto"/>
              <w:jc w:val="both"/>
            </w:pPr>
            <w:r>
              <w:t>3TB</w:t>
            </w:r>
          </w:p>
        </w:tc>
      </w:tr>
      <w:tr w:rsidR="00D62203" w14:paraId="558D55B5" w14:textId="77777777">
        <w:trPr>
          <w:cantSplit/>
        </w:trPr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645617" w14:textId="77777777" w:rsidR="00D62203" w:rsidRDefault="00D62203"/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4796C8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705C2F" w14:textId="77777777" w:rsidR="00D62203" w:rsidRDefault="00892923">
            <w:pPr>
              <w:spacing w:line="252" w:lineRule="auto"/>
              <w:jc w:val="both"/>
            </w:pPr>
            <w:r>
              <w:t>RHEL 6.8</w:t>
            </w:r>
          </w:p>
        </w:tc>
      </w:tr>
    </w:tbl>
    <w:p w14:paraId="2A1DEA68" w14:textId="77777777" w:rsidR="00D62203" w:rsidRDefault="00D62203">
      <w:pPr>
        <w:spacing w:line="252" w:lineRule="auto"/>
        <w:jc w:val="both"/>
        <w:rPr>
          <w:rFonts w:ascii="Calibri" w:hAnsi="Calibri" w:cs="Times New Roman"/>
          <w:sz w:val="14"/>
          <w:szCs w:val="15"/>
          <w:lang w:eastAsia="en-US" w:bidi="cs-CZ"/>
        </w:rPr>
      </w:pPr>
    </w:p>
    <w:tbl>
      <w:tblPr>
        <w:tblW w:w="96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0"/>
        <w:gridCol w:w="2798"/>
        <w:gridCol w:w="3630"/>
      </w:tblGrid>
      <w:tr w:rsidR="00D62203" w14:paraId="5B386FA6" w14:textId="77777777">
        <w:tc>
          <w:tcPr>
            <w:tcW w:w="32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B64F9A" w14:textId="77777777" w:rsidR="00D62203" w:rsidRDefault="00892923">
            <w:pPr>
              <w:keepNext/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rFonts w:ascii="0" w:hAnsi="0"/>
                <w:b/>
                <w:bCs/>
                <w:i/>
                <w:iCs/>
              </w:rPr>
              <w:t>Aplikační OID (Oracle Internet Directory) server</w:t>
            </w: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18AD25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B75B59" w14:textId="77777777" w:rsidR="00D62203" w:rsidRDefault="00892923">
            <w:pPr>
              <w:spacing w:line="252" w:lineRule="auto"/>
              <w:jc w:val="both"/>
            </w:pPr>
            <w:r>
              <w:t>Blade HS23 MT-7875</w:t>
            </w:r>
          </w:p>
        </w:tc>
      </w:tr>
      <w:tr w:rsidR="00D62203" w14:paraId="1D4385C5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201922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71016C" w14:textId="77777777" w:rsidR="00D62203" w:rsidRDefault="00892923">
            <w:pPr>
              <w:spacing w:line="252" w:lineRule="auto"/>
              <w:jc w:val="both"/>
              <w:rPr>
                <w:rFonts w:ascii="0" w:hAnsi="0" w:hint="eastAsia"/>
                <w:b/>
                <w:bCs/>
              </w:rPr>
            </w:pPr>
            <w:r>
              <w:rPr>
                <w:rFonts w:ascii="0" w:hAnsi="0"/>
                <w:b/>
                <w:bCs/>
              </w:rPr>
              <w:t>Počet a typ CPU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505E6E" w14:textId="77777777" w:rsidR="00D62203" w:rsidRDefault="00892923">
            <w:pPr>
              <w:spacing w:line="252" w:lineRule="auto"/>
              <w:jc w:val="both"/>
            </w:pPr>
            <w:r>
              <w:t>Intel Xeon, 3GHz, 2 cores</w:t>
            </w:r>
          </w:p>
        </w:tc>
      </w:tr>
      <w:tr w:rsidR="00D62203" w14:paraId="34EBC023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6F87F2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BF1D4A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RAM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D37992" w14:textId="77777777" w:rsidR="00D62203" w:rsidRDefault="00892923">
            <w:pPr>
              <w:spacing w:line="252" w:lineRule="auto"/>
              <w:jc w:val="both"/>
            </w:pPr>
            <w:r>
              <w:t>32GB</w:t>
            </w:r>
          </w:p>
        </w:tc>
      </w:tr>
      <w:tr w:rsidR="00D62203" w14:paraId="4B78FB89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36E058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4983CE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Disková kapacita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526EFF" w14:textId="77777777" w:rsidR="00D62203" w:rsidRDefault="00892923">
            <w:pPr>
              <w:spacing w:line="252" w:lineRule="auto"/>
              <w:jc w:val="both"/>
            </w:pPr>
            <w:r>
              <w:t>200GB</w:t>
            </w:r>
          </w:p>
        </w:tc>
      </w:tr>
      <w:tr w:rsidR="00D62203" w14:paraId="2445BA4C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569ADF" w14:textId="77777777" w:rsidR="00D62203" w:rsidRDefault="00D62203"/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8050A0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A1EE75" w14:textId="77777777" w:rsidR="00D62203" w:rsidRDefault="00892923">
            <w:pPr>
              <w:spacing w:line="252" w:lineRule="auto"/>
              <w:jc w:val="both"/>
            </w:pPr>
            <w:r>
              <w:t>RHEL 6.8</w:t>
            </w:r>
          </w:p>
        </w:tc>
      </w:tr>
    </w:tbl>
    <w:p w14:paraId="2208CD81" w14:textId="77777777" w:rsidR="00D62203" w:rsidRDefault="00D62203">
      <w:pPr>
        <w:spacing w:line="252" w:lineRule="auto"/>
        <w:jc w:val="both"/>
        <w:rPr>
          <w:rFonts w:ascii="Calibri" w:hAnsi="Calibri" w:cs="Times New Roman"/>
          <w:szCs w:val="22"/>
          <w:lang w:eastAsia="en-US" w:bidi="cs-CZ"/>
        </w:rPr>
      </w:pPr>
    </w:p>
    <w:tbl>
      <w:tblPr>
        <w:tblW w:w="96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0"/>
        <w:gridCol w:w="2798"/>
        <w:gridCol w:w="3630"/>
      </w:tblGrid>
      <w:tr w:rsidR="00D62203" w14:paraId="388710FE" w14:textId="77777777">
        <w:tc>
          <w:tcPr>
            <w:tcW w:w="32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C083D0" w14:textId="77777777" w:rsidR="00D62203" w:rsidRDefault="00892923">
            <w:pPr>
              <w:keepNext/>
              <w:spacing w:line="252" w:lineRule="auto"/>
              <w:rPr>
                <w:rFonts w:ascii="0" w:hAnsi="0" w:hint="eastAsia"/>
                <w:b/>
                <w:bCs/>
                <w:i/>
                <w:iCs/>
              </w:rPr>
            </w:pPr>
            <w:r>
              <w:rPr>
                <w:rFonts w:ascii="0" w:hAnsi="0"/>
                <w:b/>
                <w:bCs/>
                <w:i/>
                <w:iCs/>
              </w:rPr>
              <w:t>Server virtualizační (aplikační)</w:t>
            </w: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8D9402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73FB92" w14:textId="77777777" w:rsidR="00D62203" w:rsidRDefault="00892923">
            <w:pPr>
              <w:spacing w:line="252" w:lineRule="auto"/>
              <w:jc w:val="both"/>
            </w:pPr>
            <w:r>
              <w:t>Blade HS23 MT-7875</w:t>
            </w:r>
          </w:p>
        </w:tc>
      </w:tr>
      <w:tr w:rsidR="00D62203" w14:paraId="5A763D35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A3AAFA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E31655" w14:textId="77777777" w:rsidR="00D62203" w:rsidRDefault="00892923">
            <w:pPr>
              <w:spacing w:line="252" w:lineRule="auto"/>
              <w:jc w:val="both"/>
              <w:rPr>
                <w:rFonts w:ascii="0" w:hAnsi="0" w:hint="eastAsia"/>
                <w:b/>
                <w:bCs/>
              </w:rPr>
            </w:pPr>
            <w:r>
              <w:rPr>
                <w:rFonts w:ascii="0" w:hAnsi="0"/>
                <w:b/>
                <w:bCs/>
              </w:rPr>
              <w:t>Počet a typ CPU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FDC88BB" w14:textId="77777777" w:rsidR="00D62203" w:rsidRDefault="00892923">
            <w:pPr>
              <w:spacing w:line="252" w:lineRule="auto"/>
              <w:jc w:val="both"/>
            </w:pPr>
            <w:r>
              <w:t>Intel Xeon, 2GHz, 8 cores</w:t>
            </w:r>
          </w:p>
        </w:tc>
      </w:tr>
      <w:tr w:rsidR="00D62203" w14:paraId="56EEF251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16FAD7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A1C2C0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RAM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B925E1" w14:textId="77777777" w:rsidR="00D62203" w:rsidRDefault="00892923">
            <w:pPr>
              <w:spacing w:line="252" w:lineRule="auto"/>
              <w:jc w:val="both"/>
            </w:pPr>
            <w:r>
              <w:t>128GB</w:t>
            </w:r>
          </w:p>
        </w:tc>
      </w:tr>
      <w:tr w:rsidR="00D62203" w14:paraId="21A86675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D2F581" w14:textId="77777777" w:rsidR="00D62203" w:rsidRDefault="00D62203">
            <w:pPr>
              <w:keepNext/>
            </w:pPr>
          </w:p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2114CD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Disková kapacita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27EC7F" w14:textId="77777777" w:rsidR="00D62203" w:rsidRDefault="00892923">
            <w:pPr>
              <w:spacing w:line="252" w:lineRule="auto"/>
              <w:jc w:val="both"/>
            </w:pPr>
            <w:r>
              <w:t>4,2TB</w:t>
            </w:r>
          </w:p>
        </w:tc>
      </w:tr>
      <w:tr w:rsidR="00D62203" w14:paraId="6F3D795F" w14:textId="77777777">
        <w:tc>
          <w:tcPr>
            <w:tcW w:w="32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6F5152" w14:textId="77777777" w:rsidR="00D62203" w:rsidRDefault="00D62203"/>
        </w:tc>
        <w:tc>
          <w:tcPr>
            <w:tcW w:w="2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8FA72E" w14:textId="77777777" w:rsidR="00D62203" w:rsidRDefault="00892923">
            <w:pPr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</w:t>
            </w:r>
          </w:p>
        </w:tc>
        <w:tc>
          <w:tcPr>
            <w:tcW w:w="3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0D7B3C" w14:textId="77777777" w:rsidR="00D62203" w:rsidRDefault="00892923">
            <w:pPr>
              <w:spacing w:line="252" w:lineRule="auto"/>
              <w:jc w:val="both"/>
            </w:pPr>
            <w:r>
              <w:t>VMware 6.7</w:t>
            </w:r>
          </w:p>
        </w:tc>
      </w:tr>
    </w:tbl>
    <w:p w14:paraId="246623C8" w14:textId="77777777" w:rsidR="00D62203" w:rsidRDefault="00892923">
      <w:pPr>
        <w:pStyle w:val="Nadpis4"/>
        <w:numPr>
          <w:ilvl w:val="3"/>
          <w:numId w:val="2"/>
        </w:numPr>
        <w:spacing w:before="227"/>
      </w:pPr>
      <w:r>
        <w:lastRenderedPageBreak/>
        <w:t>Diskové úložiště</w:t>
      </w:r>
    </w:p>
    <w:p w14:paraId="7D776347" w14:textId="77777777" w:rsidR="00D62203" w:rsidRDefault="00892923">
      <w:r>
        <w:t xml:space="preserve">Centrální diskové úložiště IBM StorWize V5000 se třemi typy disků – NL SAS, SAS a SSD, mezi kterými probíhá automatické tierování datových bloků podle statistiky jejich využití. Komunikace mezi servery a diskovým úložištěm v rámci lokality probíhá přes Storage Area Network (SAN) o rychlosti 8Gb/s. </w:t>
      </w:r>
    </w:p>
    <w:p w14:paraId="6828A0C3" w14:textId="77777777" w:rsidR="00D62203" w:rsidRDefault="00892923">
      <w:pPr>
        <w:pStyle w:val="Nadpis4"/>
        <w:numPr>
          <w:ilvl w:val="3"/>
          <w:numId w:val="2"/>
        </w:numPr>
      </w:pPr>
      <w:r>
        <w:t xml:space="preserve">Virtualizační platforma </w:t>
      </w:r>
    </w:p>
    <w:p w14:paraId="79AC5059" w14:textId="77777777" w:rsidR="00D62203" w:rsidRDefault="00892923">
      <w:r>
        <w:t xml:space="preserve">Virtualizační platforma VMware vSphere ve verzi 6.7 umožňující virtualizovat operační systémy na bázi MS Windows i Linux. </w:t>
      </w:r>
    </w:p>
    <w:p w14:paraId="62935BAB" w14:textId="77777777" w:rsidR="00D62203" w:rsidRDefault="00892923">
      <w:pPr>
        <w:pStyle w:val="Nadpis4"/>
        <w:numPr>
          <w:ilvl w:val="3"/>
          <w:numId w:val="2"/>
        </w:numPr>
      </w:pPr>
      <w:r>
        <w:t>Zálohování virtuálních serverů</w:t>
      </w:r>
    </w:p>
    <w:p w14:paraId="4A309A58" w14:textId="77777777" w:rsidR="00D62203" w:rsidRDefault="00892923">
      <w:r>
        <w:t xml:space="preserve">Každodenní zálohování virtuálních serverů systémem Veeam Backup &amp; Replication ve verzi 9.5 do záložní lokality. Proces zálohování je postaven na inkrementálních zálohách pomocí snapshotů virtuálních strojů. </w:t>
      </w:r>
    </w:p>
    <w:p w14:paraId="459DF909" w14:textId="77777777" w:rsidR="00D62203" w:rsidRDefault="00892923">
      <w:pPr>
        <w:pStyle w:val="Nadpis4"/>
        <w:numPr>
          <w:ilvl w:val="3"/>
          <w:numId w:val="2"/>
        </w:numPr>
      </w:pPr>
      <w:r>
        <w:t>Zálohování databáze</w:t>
      </w:r>
    </w:p>
    <w:p w14:paraId="5867AAA8" w14:textId="77777777" w:rsidR="00D62203" w:rsidRDefault="00892923">
      <w:r>
        <w:t>Provádění záloh v denním režimu pondělí až neděle - dump instance a RMAN (Oracle Recovery Manager) - na pásku s postupným přepisováním.</w:t>
      </w:r>
    </w:p>
    <w:p w14:paraId="1C0AC773" w14:textId="77777777" w:rsidR="00D62203" w:rsidRDefault="00892923">
      <w:r>
        <w:t>Možnost využití 2 identických geograficky oddělených uzlů (lokalit) pro osazení databází Oracle se synchronizací sekundární databáze s primární v reálném čase.</w:t>
      </w:r>
    </w:p>
    <w:p w14:paraId="64924724" w14:textId="77777777" w:rsidR="00D62203" w:rsidRDefault="00D62203">
      <w:pPr>
        <w:rPr>
          <w:sz w:val="12"/>
          <w:szCs w:val="13"/>
        </w:rPr>
      </w:pPr>
    </w:p>
    <w:p w14:paraId="5AC00B0A" w14:textId="77777777" w:rsidR="00D62203" w:rsidRDefault="00892923">
      <w:r>
        <w:t>Pozn. Popsaný způsob zálohování databáze je úzce spjatý se současným řešením stávajícího ekonomického systému na databázi Oracle, který v ASFU licenci neumožňuje přidání jakékoli jiné DB instance, pokud není součástí stávajícího systému. Je proto pouze ilustrativní ve smyslu popisu stávajícího stavu.</w:t>
      </w:r>
    </w:p>
    <w:p w14:paraId="14746C1B" w14:textId="77777777" w:rsidR="00D62203" w:rsidRDefault="00892923">
      <w:pPr>
        <w:pStyle w:val="Nadpis3"/>
        <w:numPr>
          <w:ilvl w:val="2"/>
          <w:numId w:val="2"/>
        </w:numPr>
      </w:pPr>
      <w:r>
        <w:t>Klientské stanice</w:t>
      </w:r>
    </w:p>
    <w:p w14:paraId="516409BF" w14:textId="77777777" w:rsidR="00D62203" w:rsidRDefault="00892923">
      <w:r>
        <w:t>Na klientských stanicích jsou použity převážně Windows 7 (32 a 64-bit), Windows 8, Windows 10.</w:t>
      </w:r>
    </w:p>
    <w:p w14:paraId="05D6B83C" w14:textId="77777777" w:rsidR="00D62203" w:rsidRDefault="00892923">
      <w:pPr>
        <w:pStyle w:val="Nadpis3"/>
        <w:numPr>
          <w:ilvl w:val="2"/>
          <w:numId w:val="2"/>
        </w:numPr>
      </w:pPr>
      <w:r>
        <w:t>Síťová konektivita</w:t>
      </w:r>
    </w:p>
    <w:p w14:paraId="19669317" w14:textId="77777777" w:rsidR="00D62203" w:rsidRDefault="00892923">
      <w:r>
        <w:t>LAN FZÚ je napojena na serverovnu přes páteřní síť PASNET 10Gb. Uživatelé mají možnost vzdáleného přístupu přes VPN.</w:t>
      </w:r>
    </w:p>
    <w:p w14:paraId="0F25A32A" w14:textId="77777777" w:rsidR="00D62203" w:rsidRDefault="00892923">
      <w:pPr>
        <w:pStyle w:val="Nadpis2"/>
        <w:numPr>
          <w:ilvl w:val="1"/>
          <w:numId w:val="2"/>
        </w:numPr>
      </w:pPr>
      <w:r>
        <w:t>C. ServiceDesk systém</w:t>
      </w:r>
    </w:p>
    <w:p w14:paraId="31F13283" w14:textId="77777777" w:rsidR="00D62203" w:rsidRDefault="00892923">
      <w:pPr>
        <w:spacing w:after="113"/>
      </w:pPr>
      <w:r>
        <w:t xml:space="preserve">Objednatel využívá pro sledování problémů - hlášení incidentů a zaznamenávání požadavků - ServiceDesk Mantis Bug Tracker (MantisBT). Jde o webový systém pro evidenci chyb (bug tracking) s uživatelským rozhraním, které upozorňuje uživatele na aktuální stav různých problému. </w:t>
      </w:r>
    </w:p>
    <w:p w14:paraId="0D2BA488" w14:textId="77777777" w:rsidR="00D62203" w:rsidRDefault="00892923">
      <w:r>
        <w:t>Přes ServiceDesk je u incidentu/požadavku sledován(a):</w:t>
      </w:r>
    </w:p>
    <w:p w14:paraId="5E53C02F" w14:textId="77777777" w:rsidR="00D62203" w:rsidRDefault="00892923">
      <w:pPr>
        <w:numPr>
          <w:ilvl w:val="0"/>
          <w:numId w:val="3"/>
        </w:numPr>
      </w:pPr>
      <w:r>
        <w:t>priorita (vysoká/normální)</w:t>
      </w:r>
    </w:p>
    <w:p w14:paraId="4E00AF8D" w14:textId="77777777" w:rsidR="00D62203" w:rsidRDefault="00892923">
      <w:pPr>
        <w:numPr>
          <w:ilvl w:val="0"/>
          <w:numId w:val="3"/>
        </w:numPr>
      </w:pPr>
      <w:r>
        <w:t>subsystém (kterého se incident/požadavek týká)</w:t>
      </w:r>
    </w:p>
    <w:p w14:paraId="0B5BA452" w14:textId="77777777" w:rsidR="00D62203" w:rsidRDefault="00892923">
      <w:pPr>
        <w:numPr>
          <w:ilvl w:val="0"/>
          <w:numId w:val="3"/>
        </w:numPr>
      </w:pPr>
      <w:r>
        <w:t>klasifikace (dotaz/požadavek)</w:t>
      </w:r>
    </w:p>
    <w:p w14:paraId="55BB8713" w14:textId="77777777" w:rsidR="00D62203" w:rsidRDefault="00892923">
      <w:pPr>
        <w:numPr>
          <w:ilvl w:val="0"/>
          <w:numId w:val="3"/>
        </w:numPr>
      </w:pPr>
      <w:r>
        <w:t>stav (zadaný/přiřazený/vyřešený)</w:t>
      </w:r>
    </w:p>
    <w:p w14:paraId="1639C0F7" w14:textId="77777777" w:rsidR="00D62203" w:rsidRDefault="00892923">
      <w:pPr>
        <w:numPr>
          <w:ilvl w:val="0"/>
          <w:numId w:val="3"/>
        </w:numPr>
      </w:pPr>
      <w:r>
        <w:t>aktualizace (datum a čas poslední aktualizace incidentu/požadavku)</w:t>
      </w:r>
    </w:p>
    <w:p w14:paraId="40AC8E22" w14:textId="77777777" w:rsidR="00D62203" w:rsidRDefault="00892923">
      <w:pPr>
        <w:numPr>
          <w:ilvl w:val="0"/>
          <w:numId w:val="3"/>
        </w:numPr>
      </w:pPr>
      <w:r>
        <w:t>datum vložení (datum, kdy byl požadavek do systému vložen)</w:t>
      </w:r>
    </w:p>
    <w:p w14:paraId="36D5965A" w14:textId="77777777" w:rsidR="00D62203" w:rsidRDefault="00892923">
      <w:pPr>
        <w:numPr>
          <w:ilvl w:val="0"/>
          <w:numId w:val="3"/>
        </w:numPr>
      </w:pPr>
      <w:r>
        <w:t>předmět hlášení (stručný popis incidentu/požadavku).</w:t>
      </w:r>
    </w:p>
    <w:p w14:paraId="3AF5D908" w14:textId="77777777" w:rsidR="00D62203" w:rsidRDefault="00D62203"/>
    <w:p w14:paraId="0493D5B0" w14:textId="77777777" w:rsidR="00D62203" w:rsidRDefault="00892923">
      <w:r>
        <w:t>Dokumentace k aktuální verzi MantisBT je na https://www.mantisbt.org/documentation.php.</w:t>
      </w:r>
    </w:p>
    <w:sectPr w:rsidR="00D62203">
      <w:headerReference w:type="default" r:id="rId7"/>
      <w:footerReference w:type="default" r:id="rId8"/>
      <w:pgSz w:w="11906" w:h="16838"/>
      <w:pgMar w:top="1700" w:right="1134" w:bottom="1700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3AC1" w14:textId="77777777" w:rsidR="00E84CE8" w:rsidRDefault="00E84CE8">
      <w:r>
        <w:separator/>
      </w:r>
    </w:p>
  </w:endnote>
  <w:endnote w:type="continuationSeparator" w:id="0">
    <w:p w14:paraId="1E45C6D4" w14:textId="77777777" w:rsidR="00E84CE8" w:rsidRDefault="00E8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0">
    <w:altName w:val="Arial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4CE1" w14:textId="56B09FE6" w:rsidR="00D62203" w:rsidRDefault="00892923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6740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0CC4" w14:textId="77777777" w:rsidR="00E84CE8" w:rsidRDefault="00E84CE8">
      <w:r>
        <w:separator/>
      </w:r>
    </w:p>
  </w:footnote>
  <w:footnote w:type="continuationSeparator" w:id="0">
    <w:p w14:paraId="7547EFBE" w14:textId="77777777" w:rsidR="00E84CE8" w:rsidRDefault="00E8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5E66" w14:textId="77777777" w:rsidR="00D62203" w:rsidRDefault="00D622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04F1"/>
    <w:multiLevelType w:val="multilevel"/>
    <w:tmpl w:val="A0CC57B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76531C"/>
    <w:multiLevelType w:val="multilevel"/>
    <w:tmpl w:val="54C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D167A52"/>
    <w:multiLevelType w:val="multilevel"/>
    <w:tmpl w:val="C792A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143B3F"/>
    <w:rsid w:val="00167404"/>
    <w:rsid w:val="005B1199"/>
    <w:rsid w:val="00892923"/>
    <w:rsid w:val="00D62203"/>
    <w:rsid w:val="00E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EE09D"/>
  <w15:docId w15:val="{BF487F73-AC99-4AEE-A768-335DF2B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sz w:val="22"/>
    </w:rPr>
  </w:style>
  <w:style w:type="paragraph" w:styleId="Nadpis1">
    <w:name w:val="heading 1"/>
    <w:basedOn w:val="Nadpis"/>
    <w:next w:val="Normln"/>
    <w:qFormat/>
    <w:pPr>
      <w:widowControl w:val="0"/>
      <w:numPr>
        <w:numId w:val="1"/>
      </w:numPr>
      <w:outlineLvl w:val="0"/>
    </w:pPr>
    <w:rPr>
      <w:b/>
      <w:sz w:val="32"/>
      <w:szCs w:val="36"/>
    </w:rPr>
  </w:style>
  <w:style w:type="paragraph" w:styleId="Nadpis2">
    <w:name w:val="heading 2"/>
    <w:basedOn w:val="Nadpis"/>
    <w:next w:val="Normln"/>
    <w:qFormat/>
    <w:pPr>
      <w:widowControl w:val="0"/>
      <w:numPr>
        <w:ilvl w:val="1"/>
        <w:numId w:val="1"/>
      </w:numPr>
      <w:spacing w:before="200"/>
      <w:outlineLvl w:val="1"/>
    </w:pPr>
    <w:rPr>
      <w:b/>
      <w:szCs w:val="32"/>
    </w:rPr>
  </w:style>
  <w:style w:type="paragraph" w:styleId="Nadpis3">
    <w:name w:val="heading 3"/>
    <w:basedOn w:val="Nadpis"/>
    <w:next w:val="Normln"/>
    <w:qFormat/>
    <w:pPr>
      <w:widowControl w:val="0"/>
      <w:numPr>
        <w:ilvl w:val="2"/>
        <w:numId w:val="1"/>
      </w:numPr>
      <w:spacing w:before="113" w:after="57"/>
      <w:outlineLvl w:val="2"/>
    </w:pPr>
    <w:rPr>
      <w:b/>
      <w:sz w:val="24"/>
    </w:rPr>
  </w:style>
  <w:style w:type="paragraph" w:styleId="Nadpis4">
    <w:name w:val="heading 4"/>
    <w:basedOn w:val="Nadpis"/>
    <w:next w:val="Normln"/>
    <w:qFormat/>
    <w:pPr>
      <w:widowControl w:val="0"/>
      <w:numPr>
        <w:ilvl w:val="3"/>
        <w:numId w:val="1"/>
      </w:numPr>
      <w:spacing w:before="113" w:after="57"/>
      <w:outlineLvl w:val="3"/>
    </w:pPr>
    <w:rPr>
      <w:b/>
      <w:i/>
      <w:iCs/>
      <w:sz w:val="24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sz w:val="20"/>
    </w:rPr>
  </w:style>
  <w:style w:type="paragraph" w:customStyle="1" w:styleId="DocumentMap">
    <w:name w:val="DocumentMap"/>
    <w:qFormat/>
    <w:pPr>
      <w:overflowPunct w:val="0"/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cs-CZ"/>
    </w:rPr>
  </w:style>
  <w:style w:type="paragraph" w:customStyle="1" w:styleId="Prosttabulka11">
    <w:name w:val="Prost‡ tabulka 11"/>
    <w:basedOn w:val="DocumentMap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Levandovský</dc:creator>
  <dc:description/>
  <cp:lastModifiedBy>Vladimír Levandovský</cp:lastModifiedBy>
  <cp:revision>2</cp:revision>
  <dcterms:created xsi:type="dcterms:W3CDTF">2018-12-21T11:41:00Z</dcterms:created>
  <dcterms:modified xsi:type="dcterms:W3CDTF">2018-12-21T11:41:00Z</dcterms:modified>
  <dc:language>cs-CZ</dc:language>
</cp:coreProperties>
</file>