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FC" w:rsidRPr="00241C59" w:rsidRDefault="00743BFC" w:rsidP="00743BFC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Kosti dokážou to,</w:t>
      </w:r>
      <w:r w:rsidRPr="00241C59">
        <w:rPr>
          <w:rFonts w:cs="Arial"/>
          <w:b/>
          <w:sz w:val="32"/>
          <w:szCs w:val="32"/>
        </w:rPr>
        <w:t xml:space="preserve"> co kůže a krev. Unikátní výzkum publikoval </w:t>
      </w:r>
      <w:r>
        <w:rPr>
          <w:rFonts w:cs="Arial"/>
          <w:b/>
          <w:sz w:val="32"/>
          <w:szCs w:val="32"/>
        </w:rPr>
        <w:t>časopis</w:t>
      </w:r>
      <w:r w:rsidRPr="00241C59">
        <w:rPr>
          <w:rFonts w:cs="Arial"/>
          <w:b/>
          <w:sz w:val="32"/>
          <w:szCs w:val="32"/>
        </w:rPr>
        <w:t xml:space="preserve"> </w:t>
      </w:r>
      <w:proofErr w:type="spellStart"/>
      <w:r w:rsidRPr="00241C59">
        <w:rPr>
          <w:rFonts w:cs="Arial"/>
          <w:b/>
          <w:sz w:val="32"/>
          <w:szCs w:val="32"/>
        </w:rPr>
        <w:t>Nature</w:t>
      </w:r>
      <w:proofErr w:type="spellEnd"/>
    </w:p>
    <w:p w:rsidR="00833BD1" w:rsidRPr="00F559E4" w:rsidRDefault="00833BD1" w:rsidP="00B63EDF">
      <w:pPr>
        <w:pStyle w:val="Bezmezer"/>
        <w:spacing w:before="160"/>
        <w:rPr>
          <w:rFonts w:asciiTheme="majorHAnsi" w:hAnsiTheme="majorHAnsi" w:cstheme="majorHAnsi"/>
          <w:i/>
          <w:sz w:val="24"/>
          <w:szCs w:val="24"/>
        </w:rPr>
      </w:pPr>
      <w:bookmarkStart w:id="0" w:name="_GoBack"/>
      <w:bookmarkEnd w:id="0"/>
      <w:r w:rsidRPr="000A46D9">
        <w:rPr>
          <w:rFonts w:asciiTheme="majorHAnsi" w:hAnsiTheme="majorHAnsi" w:cstheme="majorHAnsi"/>
          <w:i/>
          <w:sz w:val="24"/>
          <w:szCs w:val="24"/>
        </w:rPr>
        <w:t xml:space="preserve">Praha, </w:t>
      </w:r>
      <w:r w:rsidR="00E47454" w:rsidRPr="000A46D9">
        <w:rPr>
          <w:rFonts w:asciiTheme="majorHAnsi" w:hAnsiTheme="majorHAnsi" w:cstheme="majorHAnsi"/>
          <w:i/>
          <w:sz w:val="24"/>
          <w:szCs w:val="24"/>
        </w:rPr>
        <w:t>1</w:t>
      </w:r>
      <w:r w:rsidR="000A46D9" w:rsidRPr="000A46D9">
        <w:rPr>
          <w:rFonts w:asciiTheme="majorHAnsi" w:hAnsiTheme="majorHAnsi" w:cstheme="majorHAnsi"/>
          <w:i/>
          <w:sz w:val="24"/>
          <w:szCs w:val="24"/>
        </w:rPr>
        <w:t>9</w:t>
      </w:r>
      <w:r w:rsidRPr="000A46D9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F559E4" w:rsidRPr="000A46D9">
        <w:rPr>
          <w:rFonts w:asciiTheme="majorHAnsi" w:hAnsiTheme="majorHAnsi" w:cstheme="majorHAnsi"/>
          <w:i/>
          <w:sz w:val="24"/>
          <w:szCs w:val="24"/>
        </w:rPr>
        <w:t>března</w:t>
      </w:r>
      <w:r w:rsidRPr="000A46D9">
        <w:rPr>
          <w:rFonts w:asciiTheme="majorHAnsi" w:hAnsiTheme="majorHAnsi" w:cstheme="majorHAnsi"/>
          <w:i/>
          <w:sz w:val="24"/>
          <w:szCs w:val="24"/>
        </w:rPr>
        <w:t xml:space="preserve"> 2019</w:t>
      </w:r>
    </w:p>
    <w:p w:rsidR="00F559E4" w:rsidRPr="00F559E4" w:rsidRDefault="00427878" w:rsidP="00427878">
      <w:pPr>
        <w:spacing w:before="120" w:after="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Výzkum mezinárodního týmu, na kterém se podílela i vědkyně z Ústavu experimentální medicíny Akademie věd ČR, publikoval prestižní časopis </w:t>
      </w:r>
      <w:proofErr w:type="spellStart"/>
      <w:r w:rsidRPr="00427878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>Nature</w:t>
      </w:r>
      <w:proofErr w:type="spellEnd"/>
      <w:r w:rsidRPr="00427878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. Týká se obnovy kmenových buněk v „růstových zónách“ kostí. Tento objev může v budoucnu pomoci snížit růstové poruchy u dětí či zlepšit léčebné přístupy obecně</w:t>
      </w: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.</w:t>
      </w:r>
    </w:p>
    <w:p w:rsidR="000A1C98" w:rsidRDefault="00427878" w:rsidP="00427878">
      <w:pPr>
        <w:spacing w:before="120" w:after="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„Tento výzkum prokázal, že i v kostech existují buňky, které po určitou dobu umožňují zachování růstových zón potřebných pro prodlužování dlouhých kostí a zabezpečují růst kostí do délky až do dosažení dospělosti,“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říká Mária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Hovořáková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z Ústavu experimentální medicíny s tím, že růst dlouhých kostí u dětí umožňují růstové ploténky. Ty jsou tvořeny chrupavčitou tkání a oddělují oba konce dlouhých kostí od jejich střední již kostěné části. Růstové ploténky obsahují tři typy buněk (chondrocyty), které musí být v růstové zóně neustále doplňovány, a to vzhledem k zachování dlouhodobé funkce ploténky. </w:t>
      </w:r>
    </w:p>
    <w:p w:rsidR="00427878" w:rsidRPr="00427878" w:rsidRDefault="00427878" w:rsidP="00427878">
      <w:pPr>
        <w:spacing w:before="120" w:after="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Výzkum</w:t>
      </w:r>
      <w:r w:rsidR="002556F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(Newton et al., 2019)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který zaštiťovala nejvýznamnější lékařská univerzita v Evropě Institut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Karolinska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ve Švédsku, probíhal na myších modelech a potvrdil schopnost vlastního obnovování kmenových buněk v</w:t>
      </w:r>
      <w:r w:rsidR="00826BA3">
        <w:rPr>
          <w:rFonts w:cstheme="minorHAnsi"/>
          <w:sz w:val="24"/>
          <w:szCs w:val="24"/>
        </w:rPr>
        <w:t> 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růstových zónách. </w:t>
      </w:r>
    </w:p>
    <w:p w:rsidR="00427878" w:rsidRPr="00427878" w:rsidRDefault="00427878" w:rsidP="00427878">
      <w:pPr>
        <w:spacing w:before="120" w:after="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Kmenové buňky v kostech se regenerují</w:t>
      </w:r>
    </w:p>
    <w:p w:rsidR="00427878" w:rsidRPr="00427878" w:rsidRDefault="00427878" w:rsidP="00427878">
      <w:pPr>
        <w:spacing w:before="120" w:after="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Tento výzkum ukázal, že růst kostí probíhá před narozením a po narození překvapivě jinak. Vědci využili specifické myší kmeny, které jim umožnily sledovat buněčné populace, a</w:t>
      </w:r>
      <w:r w:rsidR="00826BA3">
        <w:rPr>
          <w:rFonts w:cstheme="minorHAnsi"/>
          <w:sz w:val="24"/>
          <w:szCs w:val="24"/>
        </w:rPr>
        <w:t> 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prokázali, že krátce po narození plodu získávají některé embryonální chondrocyty charakter kmenových buněk. Asymetrickým dělením dávají vzniknout jednak dalším kmenovým buňkám (ty doplňují jejich zásobu), a jednak buňkám připraveným k vlastní diferenciaci a tvorbě kosti. </w:t>
      </w:r>
    </w:p>
    <w:p w:rsidR="00427878" w:rsidRPr="00427878" w:rsidRDefault="00427878" w:rsidP="00427878">
      <w:pPr>
        <w:spacing w:before="120" w:after="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 xml:space="preserve">Podobné chování je typické pro tkáně, které mají vysokou schopnost regenerace jako například kůže nebo krev. U těchto tkání jsou tzv.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progenitorové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buňky lokalizovány ve specifických nikách, které mají za úkol jednak produkci buněk příslušných tkání (kožní nebo krevní buňky) ale také umožňují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sebeobnovu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samotných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progenitorových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buněk. Pokud je taková nika poškozená,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progenitorové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buňky jsou spotřebovány a tkáň se naruší. Uvedený výzkum v podstatě potvrdil, že taková nika existuje i v kostech.</w:t>
      </w:r>
    </w:p>
    <w:p w:rsidR="00427878" w:rsidRPr="00427878" w:rsidRDefault="00044592" w:rsidP="00427878">
      <w:pPr>
        <w:spacing w:before="120" w:after="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Posun k pochopení růstových p</w:t>
      </w:r>
      <w:r w:rsidR="00427878" w:rsidRPr="00427878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oruch u dětí</w:t>
      </w:r>
    </w:p>
    <w:p w:rsidR="00427878" w:rsidRPr="00427878" w:rsidRDefault="00427878" w:rsidP="00427878">
      <w:pPr>
        <w:spacing w:before="120" w:after="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„Jsem přesvědčená, že objev schopnosti </w:t>
      </w:r>
      <w:proofErr w:type="spellStart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sebeobnovy</w:t>
      </w:r>
      <w:proofErr w:type="spellEnd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</w:t>
      </w:r>
      <w:proofErr w:type="spellStart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progenitorových</w:t>
      </w:r>
      <w:proofErr w:type="spellEnd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buněk myší růstové chrupavky může znamenat výrazný posun v oblasti pochopení vzniku růstových poruch u dětí. S tím potom logicky souvisí možnosti přehodnocení či inovace terapeutických přístupů. Samozřejmě bude potřeba potvrdit, že růst probíhá stejným způsobem i u člověka,“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dodává </w:t>
      </w:r>
      <w:proofErr w:type="spellStart"/>
      <w:r w:rsidR="002556F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Hovořáková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podle níž může výzkum pomoci různým onemocněním. Mezi nimi je například </w:t>
      </w:r>
      <w:proofErr w:type="spellStart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achondroplázie</w:t>
      </w:r>
      <w:proofErr w:type="spellEnd"/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, známá pod názvem disproporcionální trpaslictví, nebo neomezený růst u</w:t>
      </w:r>
      <w:r w:rsidR="00DF67B0">
        <w:rPr>
          <w:rFonts w:cstheme="minorHAnsi"/>
          <w:sz w:val="24"/>
          <w:szCs w:val="24"/>
        </w:rPr>
        <w:t> 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pacientů s některými mutacemi. </w:t>
      </w:r>
    </w:p>
    <w:p w:rsidR="00B91573" w:rsidRDefault="00427878" w:rsidP="00427878">
      <w:pPr>
        <w:spacing w:before="120" w:after="360" w:line="360" w:lineRule="auto"/>
      </w:pPr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„Jsem ráda, že jsem měla možnost pracovat na tomto projektu pod vedením takové kapacity, jako je Andrei </w:t>
      </w:r>
      <w:proofErr w:type="spellStart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Chagin</w:t>
      </w:r>
      <w:proofErr w:type="spellEnd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ze švédského Institutu </w:t>
      </w:r>
      <w:proofErr w:type="spellStart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Karolinska</w:t>
      </w:r>
      <w:proofErr w:type="spellEnd"/>
      <w:r w:rsidRPr="00427878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. Spolupráce s ním a celým týmem byla z mého pohledu nesmírně inspirující zkušenost,“</w:t>
      </w:r>
      <w:r w:rsidRPr="0042787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uvádí vědkyně.</w:t>
      </w:r>
      <w:r>
        <w:t xml:space="preserve"> </w:t>
      </w:r>
    </w:p>
    <w:p w:rsidR="00B91573" w:rsidRDefault="00B91573">
      <w:r>
        <w:br w:type="page"/>
      </w:r>
    </w:p>
    <w:p w:rsidR="00B91573" w:rsidRDefault="00B91573" w:rsidP="00B91573">
      <w:pPr>
        <w:spacing w:before="120" w:after="360"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5522919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</w:p>
    <w:p w:rsidR="00527293" w:rsidRDefault="00B91573" w:rsidP="00B91573">
      <w:pPr>
        <w:spacing w:before="120" w:after="36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</w:t>
      </w:r>
      <w:r w:rsidRPr="00B91573">
        <w:rPr>
          <w:i/>
          <w:color w:val="000000"/>
          <w:sz w:val="24"/>
          <w:szCs w:val="24"/>
        </w:rPr>
        <w:t>Obrázek</w:t>
      </w:r>
      <w:r>
        <w:rPr>
          <w:i/>
          <w:color w:val="000000"/>
          <w:sz w:val="24"/>
          <w:szCs w:val="24"/>
        </w:rPr>
        <w:t xml:space="preserve"> </w:t>
      </w:r>
      <w:r w:rsidRPr="00B91573">
        <w:rPr>
          <w:i/>
          <w:color w:val="000000"/>
          <w:sz w:val="24"/>
          <w:szCs w:val="24"/>
        </w:rPr>
        <w:t xml:space="preserve">1: </w:t>
      </w:r>
      <w:r w:rsidRPr="00B91573">
        <w:rPr>
          <w:i/>
          <w:color w:val="000000"/>
          <w:sz w:val="24"/>
          <w:szCs w:val="24"/>
        </w:rPr>
        <w:t>Sledované barevné buněčné linie</w:t>
      </w:r>
    </w:p>
    <w:p w:rsidR="00527293" w:rsidRDefault="00527293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33BD1" w:rsidRPr="00B91573" w:rsidRDefault="00527293" w:rsidP="00B91573">
      <w:pPr>
        <w:spacing w:before="120" w:after="360" w:line="360" w:lineRule="auto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4610100" cy="51893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04" cy="520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CC" w:rsidRPr="00527293" w:rsidRDefault="00527293">
      <w:pPr>
        <w:rPr>
          <w:i/>
        </w:rPr>
      </w:pPr>
      <w:r w:rsidRPr="00527293">
        <w:rPr>
          <w:i/>
        </w:rPr>
        <w:t xml:space="preserve">Obrázek 2: </w:t>
      </w:r>
      <w:r w:rsidRPr="00527293">
        <w:rPr>
          <w:i/>
          <w:color w:val="000000"/>
          <w:sz w:val="24"/>
          <w:szCs w:val="24"/>
        </w:rPr>
        <w:t>Buněčné linie sledované v prenatální a postnatální myší růstové ploténce</w:t>
      </w:r>
    </w:p>
    <w:sectPr w:rsidR="007A4ACC" w:rsidRPr="00527293" w:rsidSect="0068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046" w:rsidRDefault="00F63046">
      <w:pPr>
        <w:spacing w:after="0" w:line="240" w:lineRule="auto"/>
      </w:pPr>
      <w:r>
        <w:separator/>
      </w:r>
    </w:p>
  </w:endnote>
  <w:endnote w:type="continuationSeparator" w:id="0">
    <w:p w:rsidR="00F63046" w:rsidRDefault="00F6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FC" w:rsidRDefault="004E3E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A5" w:rsidRDefault="00B14712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511F8" wp14:editId="33CF29D1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FCB738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FC" w:rsidRDefault="004E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046" w:rsidRDefault="00F63046">
      <w:pPr>
        <w:spacing w:after="0" w:line="240" w:lineRule="auto"/>
      </w:pPr>
      <w:r>
        <w:separator/>
      </w:r>
    </w:p>
  </w:footnote>
  <w:footnote w:type="continuationSeparator" w:id="0">
    <w:p w:rsidR="00F63046" w:rsidRDefault="00F6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FC" w:rsidRDefault="004E3E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A5" w:rsidRPr="00710FCE" w:rsidRDefault="00B14712" w:rsidP="006878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D7C3F1E" wp14:editId="228E61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FC" w:rsidRDefault="004E3E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D1"/>
    <w:rsid w:val="00024EEE"/>
    <w:rsid w:val="00044592"/>
    <w:rsid w:val="000831D4"/>
    <w:rsid w:val="000A1C98"/>
    <w:rsid w:val="000A46D9"/>
    <w:rsid w:val="00115C03"/>
    <w:rsid w:val="001C71E5"/>
    <w:rsid w:val="002111DA"/>
    <w:rsid w:val="002556FD"/>
    <w:rsid w:val="00382453"/>
    <w:rsid w:val="00395A94"/>
    <w:rsid w:val="003C4F84"/>
    <w:rsid w:val="00421CDD"/>
    <w:rsid w:val="00427878"/>
    <w:rsid w:val="0049745E"/>
    <w:rsid w:val="004E3EFC"/>
    <w:rsid w:val="00527293"/>
    <w:rsid w:val="0055299E"/>
    <w:rsid w:val="0059463A"/>
    <w:rsid w:val="005D1374"/>
    <w:rsid w:val="00641A8C"/>
    <w:rsid w:val="00740EC0"/>
    <w:rsid w:val="00743BFC"/>
    <w:rsid w:val="007D7E92"/>
    <w:rsid w:val="00826BA3"/>
    <w:rsid w:val="00833BD1"/>
    <w:rsid w:val="00893022"/>
    <w:rsid w:val="008E2E42"/>
    <w:rsid w:val="0094143C"/>
    <w:rsid w:val="009C5C01"/>
    <w:rsid w:val="00B14712"/>
    <w:rsid w:val="00B63EDF"/>
    <w:rsid w:val="00B91573"/>
    <w:rsid w:val="00BE6456"/>
    <w:rsid w:val="00BF3B15"/>
    <w:rsid w:val="00C20172"/>
    <w:rsid w:val="00C36128"/>
    <w:rsid w:val="00C84323"/>
    <w:rsid w:val="00D045E1"/>
    <w:rsid w:val="00D21DE0"/>
    <w:rsid w:val="00DC43DA"/>
    <w:rsid w:val="00DF67B0"/>
    <w:rsid w:val="00E47454"/>
    <w:rsid w:val="00F559E4"/>
    <w:rsid w:val="00F63046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6366"/>
  <w15:docId w15:val="{6A7F46BB-A928-4B92-AE21-414E0D3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833BD1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833BD1"/>
    <w:rPr>
      <w:color w:val="0000FF"/>
      <w:u w:val="single"/>
    </w:rPr>
  </w:style>
  <w:style w:type="paragraph" w:styleId="Bezmezer">
    <w:name w:val="No Spacing"/>
    <w:uiPriority w:val="1"/>
    <w:qFormat/>
    <w:rsid w:val="00833BD1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EFC"/>
  </w:style>
  <w:style w:type="paragraph" w:styleId="Textbubliny">
    <w:name w:val="Balloon Text"/>
    <w:basedOn w:val="Normln"/>
    <w:link w:val="TextbublinyChar"/>
    <w:uiPriority w:val="99"/>
    <w:semiHidden/>
    <w:unhideWhenUsed/>
    <w:rsid w:val="002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8</cp:revision>
  <cp:lastPrinted>2019-03-18T08:58:00Z</cp:lastPrinted>
  <dcterms:created xsi:type="dcterms:W3CDTF">2019-03-18T08:53:00Z</dcterms:created>
  <dcterms:modified xsi:type="dcterms:W3CDTF">2019-03-18T11:36:00Z</dcterms:modified>
</cp:coreProperties>
</file>