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11" w:rsidRDefault="00631F84" w:rsidP="00962411">
      <w:pPr>
        <w:spacing w:before="240" w:after="0"/>
        <w:jc w:val="both"/>
        <w:rPr>
          <w:rFonts w:cstheme="minorHAnsi"/>
          <w:b/>
          <w:bCs/>
          <w:sz w:val="32"/>
          <w:szCs w:val="32"/>
        </w:rPr>
      </w:pPr>
      <w:r w:rsidRPr="00631F84">
        <w:rPr>
          <w:rFonts w:cstheme="minorHAnsi"/>
          <w:b/>
          <w:bCs/>
          <w:sz w:val="32"/>
          <w:szCs w:val="32"/>
        </w:rPr>
        <w:t>Akademický sněm uvítal navýšení rozpočtu. Připomněl si také 100 let Archeologického ústavu</w:t>
      </w:r>
    </w:p>
    <w:p w:rsidR="003A547E" w:rsidRDefault="00FB2E06" w:rsidP="00962411">
      <w:pPr>
        <w:spacing w:before="240"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C817DB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631F84">
        <w:rPr>
          <w:rFonts w:asciiTheme="majorHAnsi" w:hAnsiTheme="majorHAnsi" w:cstheme="majorHAnsi"/>
          <w:i/>
          <w:sz w:val="24"/>
          <w:szCs w:val="24"/>
        </w:rPr>
        <w:t>16</w:t>
      </w:r>
      <w:r w:rsidRPr="00C817DB">
        <w:rPr>
          <w:rFonts w:asciiTheme="majorHAnsi" w:hAnsiTheme="majorHAnsi" w:cstheme="majorHAnsi"/>
          <w:i/>
          <w:sz w:val="24"/>
          <w:szCs w:val="24"/>
        </w:rPr>
        <w:t>.</w:t>
      </w:r>
      <w:r w:rsidR="00631F84">
        <w:rPr>
          <w:rFonts w:asciiTheme="majorHAnsi" w:hAnsiTheme="majorHAnsi" w:cstheme="majorHAnsi"/>
          <w:i/>
          <w:sz w:val="24"/>
          <w:szCs w:val="24"/>
        </w:rPr>
        <w:t xml:space="preserve"> dubna</w:t>
      </w:r>
      <w:r w:rsidRPr="00C817DB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:rsidR="003A547E" w:rsidRDefault="00560EDD">
      <w:pPr>
        <w:spacing w:before="160" w:after="36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V</w:t>
      </w:r>
      <w:r w:rsid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Národní</w:t>
      </w:r>
      <w:r w:rsid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m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d</w:t>
      </w:r>
      <w:r w:rsid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omě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na Vinohradech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se dnes 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uskutečnil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</w:t>
      </w:r>
      <w:r w:rsidR="00FA2E61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LIV. Akademick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ý</w:t>
      </w:r>
      <w:r w:rsidR="00FA2E61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sněm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. 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P</w:t>
      </w:r>
      <w:r w:rsidR="00FA2E61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ředsedkyně Akademie věd ČR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jej </w:t>
      </w:r>
      <w:r w:rsid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zahájila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důležitou pozitivní zprávou, která ovlivní financování všech akademických pracovišť</w:t>
      </w:r>
      <w:r w:rsidR="00FA2E6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: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„Rada pro výzkum, vývoj a inovace schválila na svém 344. zasedání prorůstovou variantu rozpočtu, která znamená pro Akademii věd navýšení o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zhruba půl miliardy korun v příštím roce,“ uvedla Eva </w:t>
      </w:r>
      <w:proofErr w:type="spellStart"/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Zažímalová</w:t>
      </w:r>
      <w:proofErr w:type="spellEnd"/>
      <w:r w:rsidR="00631F84" w:rsidRPr="00631F8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s tím, že se tak podařilo dosáhnout stabilizovaného financování.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Sněmu se zúčastnil i nastupující ministr průmyslu a obchodu Karel Havlíček, který je zároveň místopředsedou Rady pro výzkum, vývoj a inovace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(RVVI)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„I když se ministerstvo financí snaží o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FA2E61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ú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sporná opatření napříč resorty, podařilo se nám uhájit růst na příští rok. To je dobrá zpráva,“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doplnil to Karel Havlíček, podle něhož priority vlády a Rady zůstávají stejné. 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„Chceme podporovat výzkum v České republice, jak o tom svědčí i nová vládní inovační strategie. Bude mimo jiné znamenat i nový přístup k hodnocení velkých výzkumných center či k digitalizaci,“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řekl Havlíček.</w:t>
      </w:r>
    </w:p>
    <w:p w:rsidR="00631F84" w:rsidRPr="005E286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5E286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Budoucnost laserového centra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Další jednání o rozpočtu budou probíhat v nejbližších týdnech, i v těch hodlá být předsedkyně velmi aktivní – osobně jednala s členy vlády i RVVI. S ministerstvem financí na konci loňského roku uzavřela memorandum o spolupráci, podobné podpisy se chystají i s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ministerstvem průmyslu a obchodu či s Vojenským technickým ústavem.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Velkým tématem je pak zajištění financování laserového centra v Dolních Břežanech ELI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Beamlines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s nímž je spojený vznik evropského výzkumného sdružení ERIC. To by i nadále 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finančně mělo zůstat v kompetenci ministerstva školství. 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„Domníváme se však, že do budoucna by mělo jít o mandatorní výdaj státního rozpočtu. V této věci chceme a jsme připraveni vést další diskusi,“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řekla předsedkyně. S financováním souvisí 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také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novela zákona o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podpoře výzkumu, vývoje a inovací z veřejných prostředků, která v současné době prochází schvalováním. Podle předsedkyně se tím připravuje legislativní půda pro nový systém hodnocení, který by měl více zdůraznit kvalitu výzkumu, méně pak jeho kvantitu.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Dále se obšírněji věnovala Strategii AV 21, která je jakousi „vlajkovou lodí“ Akademie věd. Snaží se propojit vědce z různých oblastí a zaměřit se na aktuální společenská témata, jako jsou například naděje a rizika digitálního věku, nové materiály, potraviny pro budoucnost, přeměna a skladování energie či přírodní hrozby. Nejlepší výsledky z těchto programů představí Akademie věd ve dnech 16. a 17. května ve svém sídle na Národní třídě.  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„V tomto směru budeme podporovat vyšší zapojení vysokých škol i organizací podnikatelské a aplikační sféry do již existujících i připravovaných výzkumných programů,“ 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dodala předsedkyně.</w:t>
      </w:r>
    </w:p>
    <w:p w:rsidR="00631F84" w:rsidRPr="005E286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5E286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Poradenství pro zákonodárce i smlouva s MIT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Novinkou v oblasti popularizace výzkumu jsou pak stanoviska nazvaná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AVex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 Jde o stručné analýzy současných problémů, které jsou psané jasným, srozumitelným jazykem a vědci jimi poskytují poradenství českým zákonodárcům. Akademie věd se přitom inspirovala ve Velké Británii, kde podobná expertní podpora funguje v rámci politicky nezávislé instituce již řadu let. První stanovisko se zaměřilo na problematiku velkých dat (</w:t>
      </w:r>
      <w:r w:rsidRPr="00962411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Big Data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), druhé pak na kvalitu pitné vody.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„Vážím si toho, že ohlasy v politické sféře na tuto naši novou iniciativu jsou velmi pozitivní a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již jsme – zvlášť ze Senátu – dostali náměty na zaměření dalších </w:t>
      </w:r>
      <w:proofErr w:type="spellStart"/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AVexů</w:t>
      </w:r>
      <w:proofErr w:type="spellEnd"/>
      <w:r w:rsidRPr="005E2864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,“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řekla Eva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Zažímalová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>Ve svém projevu zdůraznila i rozsáhlou mezinárodní spolupráci (dohoda s Univerzitou v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Memphisu, s Izraelskou akademií přírodních a společenských věd či připravovaná smlouva s</w:t>
      </w:r>
      <w:r w:rsidR="00B13F59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prestižní </w:t>
      </w:r>
      <w:r w:rsidR="00F355DE" w:rsidRP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Massachusetts Institute </w:t>
      </w:r>
      <w:proofErr w:type="spellStart"/>
      <w:r w:rsidR="00F355DE" w:rsidRP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of</w:t>
      </w:r>
      <w:proofErr w:type="spellEnd"/>
      <w:r w:rsidR="00F355DE" w:rsidRP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Technology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– 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MIT).</w:t>
      </w:r>
    </w:p>
    <w:p w:rsidR="00631F84" w:rsidRPr="00292349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292349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Švédská kořist nebo obálka časopisu </w:t>
      </w:r>
      <w:proofErr w:type="spellStart"/>
      <w:r w:rsidRPr="00292349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Neuroscience</w:t>
      </w:r>
      <w:proofErr w:type="spellEnd"/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Předsedkyně nezapomněla ani na bilanci největších vědeckých úspěchů posledních měsíců, ze tří hlavních vědních oblastí vybrala dva až tři zástupce. Co se tedy nejvíce podařilo?</w:t>
      </w:r>
    </w:p>
    <w:p w:rsidR="00631F84" w:rsidRPr="00631F84" w:rsidRDefault="00631F84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Vznikl například informační a bibliografický portál </w:t>
      </w:r>
      <w:r w:rsidRPr="00962411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Švédská knižní kořist z Čech a</w:t>
      </w:r>
      <w:r w:rsidR="00FA1B68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bookmarkStart w:id="0" w:name="_GoBack"/>
      <w:bookmarkEnd w:id="0"/>
      <w:r w:rsidRPr="00962411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Moravy 1646–1648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Ten zpřístupňuje výsledky pátrání po knihách, které byly na sklonku třicetileté války švédskými vojsky odvezeny z českých zemí (Knihovna AV ČR). </w:t>
      </w:r>
    </w:p>
    <w:p w:rsidR="00631F84" w:rsidRPr="00631F84" w:rsidRDefault="00631F84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Podařilo se také vyvinout unikátní model myší s genetickou mutací, který poprvé ukázal na omezenou schopnost mozku přizpůsobit se vadám během embryonálního vývoje, přičemž výzkum se dostal až na titulní stránku časopisu </w:t>
      </w:r>
      <w:proofErr w:type="spellStart"/>
      <w:r w:rsidRPr="00292349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Neuroscience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(Biotechnologický ústav ve spolupráci s Ústavem experimentální medicíny). </w:t>
      </w:r>
    </w:p>
    <w:p w:rsidR="00631F84" w:rsidRPr="00631F84" w:rsidRDefault="00631F84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Fyzikální ústav vyvinul nízkoteplotní plazmatickou technologii pro ekologické a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energeticky úsporné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povlakování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optických ochranných struktur na velkých plochách.</w:t>
      </w:r>
    </w:p>
    <w:p w:rsidR="00F355DE" w:rsidRDefault="00631F84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Vědci z Ústavu makromolekulární chemie AV ČR 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tevřeli cestu k produkci nové generace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kancerostatik</w:t>
      </w:r>
      <w:proofErr w:type="spellEnd"/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</w:p>
    <w:p w:rsidR="00F355DE" w:rsidRDefault="00F355DE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K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olegové na Ústavu informatiky AV ČR ve spolupráci s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americkými vědci napomohli k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spolehlivějšímu předpovídání extrémních projevů počasí a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jejich dopadů na globální klima. </w:t>
      </w:r>
    </w:p>
    <w:p w:rsidR="00F355DE" w:rsidRDefault="00631F84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Velký mezinárodní ohlas měla studie o problémech a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nedostatcích v interpretaci programů sociálních dávek ve statistických šetřeních. Podíleli se na ní vědci z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Národohospodářského ústavu i ekonomové z Chicagské univerzity. </w:t>
      </w:r>
    </w:p>
    <w:p w:rsidR="00631F84" w:rsidRDefault="00F355DE" w:rsidP="00F355DE">
      <w:pPr>
        <w:pStyle w:val="Bezmezer"/>
        <w:numPr>
          <w:ilvl w:val="0"/>
          <w:numId w:val="1"/>
        </w:numPr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>P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ražský Archeologický ústav AV ČR vydal ve spolupráci s Ústavem dějin umění AV ČR výpravnou publikaci nazvanou </w:t>
      </w:r>
      <w:r w:rsidR="00631F84" w:rsidRPr="00292349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Katedrála viditelná a neviditelná</w:t>
      </w:r>
      <w:r w:rsidR="00631F84"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která přináší unikátní zpracování tisícileté historie katedrály sv. Víta, Václava a Vojtěcha.</w:t>
      </w:r>
    </w:p>
    <w:p w:rsidR="00F355DE" w:rsidRPr="00631F84" w:rsidRDefault="00F355DE" w:rsidP="00F355DE">
      <w:pPr>
        <w:pStyle w:val="Bezmezer"/>
        <w:spacing w:before="120" w:line="360" w:lineRule="auto"/>
        <w:ind w:left="720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631F84" w:rsidRPr="003D6022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3D6022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Langobardi i lovci mamutů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Archeologický ústav AV ČR měl na sněmu zvláštní prezentaci, </w:t>
      </w:r>
      <w:proofErr w:type="spellStart"/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mimojiné</w:t>
      </w:r>
      <w:proofErr w:type="spellEnd"/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i proto, že si t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oto pracoviště v letošním roce připomíná 100 let od svého založení antropologem Luborem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Niederlem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V Masarykově první republice ještě spadal pod Ministerstvo školství a národního vzdělávání, dnes je významnou součástí Akademie věd a je rozkročený mezi Prahou a Brnem (jedná se o dvě samostatná pracoviště).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Brněnští archeologové zde představili svůj výzkum paleolitu a paleontologii se základnou v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Dolních Věstonicích, přičemž nedaleko odtud vznikl na pavlovských stráních roku 2016 moderní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archeopark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Pavlov. Jde o jeden z nejvýznamnějších sídelních areálů v Evropě: dochovaly se zde půdorysy sídlišť, ohnišť, zbytky dílen i doklady výroby nástrojů a dalších předmětů z paleolitické domácnosti či kosterní odpad z ulovených a zkonzumovaných zvířat. Mezi nimi byly i kosti mamutů. </w:t>
      </w:r>
    </w:p>
    <w:p w:rsidR="00631F84" w:rsidRPr="00631F84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Další základnu mají archeologové v Dolních Dunajovicích, kde zkoumají vykopávky z doby římské a stěhování národů. Podařilo se jim odkrýt jak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langobardské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pohřebiště, tak římskou vojenskou nemocnici </w:t>
      </w:r>
      <w:proofErr w:type="spellStart"/>
      <w:r w:rsidRPr="003D602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valetudinaria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 Mušově. Tam také v polovině května poklepe na základní kámen návštěvnického centra s podtitulem „Brána do Římské říše“. </w:t>
      </w:r>
    </w:p>
    <w:p w:rsidR="003A547E" w:rsidRPr="00C17887" w:rsidRDefault="00631F84" w:rsidP="00631F84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Posledním pilířem jsou pak Mikulčice, kde od roku 2014 funguje středisko pro slovanskou a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středověkou archeologii. Archeologové při svém výzkumu využívají moderních postupů, v</w:t>
      </w:r>
      <w:r w:rsidR="00F355DE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rámci ústavu má silnou pozici laboratoř paleoekologie, pod kterou spadá i takzvaná dendrochronologie a </w:t>
      </w:r>
      <w:proofErr w:type="spellStart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archeobotanika</w:t>
      </w:r>
      <w:proofErr w:type="spellEnd"/>
      <w:r w:rsidRPr="00631F84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  <w:r w:rsidR="00FB2E06" w:rsidRPr="00C17887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</w:p>
    <w:sectPr w:rsidR="003A547E" w:rsidRPr="00C17887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D9" w:rsidRDefault="00B210D9">
      <w:pPr>
        <w:spacing w:after="0" w:line="240" w:lineRule="auto"/>
      </w:pPr>
      <w:r>
        <w:separator/>
      </w:r>
    </w:p>
  </w:endnote>
  <w:endnote w:type="continuationSeparator" w:id="0">
    <w:p w:rsidR="00B210D9" w:rsidRDefault="00B2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charset w:val="00"/>
    <w:family w:val="modern"/>
    <w:pitch w:val="default"/>
    <w:sig w:usb0="00000000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Přímá spojnice 4" o:spid="_x0000_s1026" o:spt="20" style="position:absolute;left:0pt;margin-left:-0.3pt;margin-top:4.15pt;height:0pt;width:453pt;z-index:251659264;mso-width-relative:page;mso-height-relative:page;" filled="f" stroked="t" coordsize="21600,21600" o:gfxdata="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XxwG1AAAAAUBAAAPAAAAAAAAAAEAIAAAACIAAABkcnMvZG93bnJl&#10;di54bWxQSwECFAAUAAAACACHTuJAVDqO68gBAABlAwAADgAAAAAAAAABACAAAAAjAQAAZHJzL2Uy&#10;b0RvYy54bWxQSwUGAAAAAAYABgBZAQAAXQ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  <w:t>Kontakt: Ing. Jan Martinek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E-mail</w:t>
    </w:r>
    <w:proofErr w:type="gramEnd"/>
    <w:r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  <w:t>Telefon: +420 221 403 423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D9" w:rsidRDefault="00B210D9">
      <w:pPr>
        <w:spacing w:after="0" w:line="240" w:lineRule="auto"/>
      </w:pPr>
      <w:r>
        <w:separator/>
      </w:r>
    </w:p>
  </w:footnote>
  <w:footnote w:type="continuationSeparator" w:id="0">
    <w:p w:rsidR="00B210D9" w:rsidRDefault="00B2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15B1"/>
    <w:multiLevelType w:val="hybridMultilevel"/>
    <w:tmpl w:val="998AE0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72516"/>
    <w:rsid w:val="000831D4"/>
    <w:rsid w:val="000F4FAD"/>
    <w:rsid w:val="00115C03"/>
    <w:rsid w:val="00151348"/>
    <w:rsid w:val="001550FE"/>
    <w:rsid w:val="00183868"/>
    <w:rsid w:val="001B536D"/>
    <w:rsid w:val="001C4B91"/>
    <w:rsid w:val="001C71E5"/>
    <w:rsid w:val="002111DA"/>
    <w:rsid w:val="00221827"/>
    <w:rsid w:val="00292349"/>
    <w:rsid w:val="002B4A3F"/>
    <w:rsid w:val="00382453"/>
    <w:rsid w:val="003A547E"/>
    <w:rsid w:val="003C4F84"/>
    <w:rsid w:val="003D6022"/>
    <w:rsid w:val="00421CDD"/>
    <w:rsid w:val="00477CF8"/>
    <w:rsid w:val="0049745E"/>
    <w:rsid w:val="0055299E"/>
    <w:rsid w:val="00560EDD"/>
    <w:rsid w:val="005D1374"/>
    <w:rsid w:val="005E2864"/>
    <w:rsid w:val="00631F84"/>
    <w:rsid w:val="00641A8C"/>
    <w:rsid w:val="00702971"/>
    <w:rsid w:val="00711613"/>
    <w:rsid w:val="00740EC0"/>
    <w:rsid w:val="00755A3E"/>
    <w:rsid w:val="007D7E92"/>
    <w:rsid w:val="00813BAD"/>
    <w:rsid w:val="00833BD1"/>
    <w:rsid w:val="00893022"/>
    <w:rsid w:val="008E2E42"/>
    <w:rsid w:val="0094143C"/>
    <w:rsid w:val="00962411"/>
    <w:rsid w:val="009B5271"/>
    <w:rsid w:val="009C5C01"/>
    <w:rsid w:val="009E7900"/>
    <w:rsid w:val="00B13F59"/>
    <w:rsid w:val="00B14712"/>
    <w:rsid w:val="00B210D9"/>
    <w:rsid w:val="00B63EDF"/>
    <w:rsid w:val="00B64B55"/>
    <w:rsid w:val="00BC5739"/>
    <w:rsid w:val="00BE6456"/>
    <w:rsid w:val="00C17887"/>
    <w:rsid w:val="00C20172"/>
    <w:rsid w:val="00C36128"/>
    <w:rsid w:val="00C817DB"/>
    <w:rsid w:val="00C84323"/>
    <w:rsid w:val="00C94CB9"/>
    <w:rsid w:val="00D03AC7"/>
    <w:rsid w:val="00D045E1"/>
    <w:rsid w:val="00D21DE0"/>
    <w:rsid w:val="00D3576F"/>
    <w:rsid w:val="00DC43DA"/>
    <w:rsid w:val="00E14241"/>
    <w:rsid w:val="00E825A1"/>
    <w:rsid w:val="00EB53CC"/>
    <w:rsid w:val="00EB6A5B"/>
    <w:rsid w:val="00EC0F59"/>
    <w:rsid w:val="00F355DE"/>
    <w:rsid w:val="00F559E4"/>
    <w:rsid w:val="00F82F08"/>
    <w:rsid w:val="00FA1B68"/>
    <w:rsid w:val="00FA2E61"/>
    <w:rsid w:val="00FB2E06"/>
    <w:rsid w:val="1A5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D882"/>
  <w15:docId w15:val="{D0462D94-BE92-48DE-BE55-90DAAEA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0FE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13</cp:revision>
  <cp:lastPrinted>2019-04-16T13:07:00Z</cp:lastPrinted>
  <dcterms:created xsi:type="dcterms:W3CDTF">2019-04-16T12:44:00Z</dcterms:created>
  <dcterms:modified xsi:type="dcterms:W3CDTF">2019-04-16T13:11:00Z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