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999D" w14:textId="77777777" w:rsidR="009521EF" w:rsidRDefault="009521EF" w:rsidP="009521EF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>V Praze 11.3. 2020</w:t>
      </w:r>
    </w:p>
    <w:p w14:paraId="721ACD1F" w14:textId="77777777" w:rsidR="009521EF" w:rsidRDefault="009521EF" w:rsidP="00BE0261">
      <w:pPr>
        <w:rPr>
          <w:b/>
          <w:sz w:val="28"/>
          <w:szCs w:val="28"/>
        </w:rPr>
      </w:pPr>
    </w:p>
    <w:p w14:paraId="346F3CA6" w14:textId="093C1494" w:rsidR="00BE0261" w:rsidRPr="00BE0261" w:rsidRDefault="00BE0261" w:rsidP="00BE0261">
      <w:pPr>
        <w:rPr>
          <w:b/>
          <w:sz w:val="28"/>
          <w:szCs w:val="28"/>
        </w:rPr>
      </w:pPr>
      <w:proofErr w:type="spellStart"/>
      <w:r w:rsidRPr="00BE0261">
        <w:rPr>
          <w:b/>
          <w:sz w:val="28"/>
          <w:szCs w:val="28"/>
        </w:rPr>
        <w:t>The</w:t>
      </w:r>
      <w:proofErr w:type="spellEnd"/>
      <w:r w:rsidRPr="00BE0261">
        <w:rPr>
          <w:b/>
          <w:sz w:val="28"/>
          <w:szCs w:val="28"/>
        </w:rPr>
        <w:t xml:space="preserve"> Country </w:t>
      </w:r>
      <w:proofErr w:type="spellStart"/>
      <w:r w:rsidRPr="00BE0261">
        <w:rPr>
          <w:b/>
          <w:sz w:val="28"/>
          <w:szCs w:val="28"/>
        </w:rPr>
        <w:t>for</w:t>
      </w:r>
      <w:proofErr w:type="spellEnd"/>
      <w:r w:rsidRPr="00BE0261">
        <w:rPr>
          <w:b/>
          <w:sz w:val="28"/>
          <w:szCs w:val="28"/>
        </w:rPr>
        <w:t xml:space="preserve"> Spin-</w:t>
      </w:r>
      <w:proofErr w:type="spellStart"/>
      <w:r w:rsidRPr="00BE0261">
        <w:rPr>
          <w:b/>
          <w:sz w:val="28"/>
          <w:szCs w:val="28"/>
        </w:rPr>
        <w:t>offs</w:t>
      </w:r>
      <w:proofErr w:type="spellEnd"/>
    </w:p>
    <w:p w14:paraId="2A768818" w14:textId="3AC4FC79" w:rsidR="00BE0261" w:rsidRPr="009521EF" w:rsidRDefault="00BE0261" w:rsidP="00BE0261">
      <w:pPr>
        <w:rPr>
          <w:b/>
        </w:rPr>
      </w:pPr>
      <w:bookmarkStart w:id="0" w:name="_GoBack"/>
      <w:r w:rsidRPr="009521EF">
        <w:rPr>
          <w:b/>
        </w:rPr>
        <w:t xml:space="preserve">Na třetí pilíř nejodvážnější Inovační strategie posledních let (Inovační strategie České republiky </w:t>
      </w:r>
      <w:proofErr w:type="gramStart"/>
      <w:r w:rsidRPr="009521EF">
        <w:rPr>
          <w:b/>
        </w:rPr>
        <w:t>2019 -</w:t>
      </w:r>
      <w:r w:rsidR="009521EF" w:rsidRPr="009521EF">
        <w:rPr>
          <w:b/>
        </w:rPr>
        <w:t xml:space="preserve"> </w:t>
      </w:r>
      <w:r w:rsidRPr="009521EF">
        <w:rPr>
          <w:b/>
        </w:rPr>
        <w:t>2030</w:t>
      </w:r>
      <w:proofErr w:type="gramEnd"/>
      <w:r w:rsidRPr="009521EF">
        <w:rPr>
          <w:b/>
        </w:rPr>
        <w:t>) a</w:t>
      </w:r>
      <w:r w:rsidR="009521EF" w:rsidRPr="009521EF">
        <w:rPr>
          <w:b/>
        </w:rPr>
        <w:t> </w:t>
      </w:r>
      <w:r w:rsidRPr="009521EF">
        <w:rPr>
          <w:b/>
        </w:rPr>
        <w:t>především na využití spin-</w:t>
      </w:r>
      <w:proofErr w:type="spellStart"/>
      <w:r w:rsidRPr="009521EF">
        <w:rPr>
          <w:b/>
        </w:rPr>
        <w:t>off</w:t>
      </w:r>
      <w:proofErr w:type="spellEnd"/>
      <w:r w:rsidRPr="009521EF">
        <w:rPr>
          <w:b/>
        </w:rPr>
        <w:t xml:space="preserve"> společností jako nástroje transferu znalostí se zaměřila další moderovaná diskuse, kterou uspořádalo Centrum transferu technologií AV ČR (CETTAV).  </w:t>
      </w:r>
    </w:p>
    <w:bookmarkEnd w:id="0"/>
    <w:p w14:paraId="204FC7C1" w14:textId="67390AAD" w:rsidR="00BE0261" w:rsidRDefault="00BE0261" w:rsidP="00BE0261">
      <w:r>
        <w:t xml:space="preserve">Dosáhnout v ukazateli podílu výdajů na výzkum a vývoj na HDP 3 % do roku 2030 a zaujmout místo mezi dvacítkou nejinovativnějších zemí světa, v tom je Inovační strategie bezesporu odvážná a ambiciózní, řekl v úvodu diskuse náměstek ministra průmyslu a obchodu Petr Očko. </w:t>
      </w:r>
      <w:proofErr w:type="spellStart"/>
      <w:r>
        <w:t>CzechInvest</w:t>
      </w:r>
      <w:proofErr w:type="spellEnd"/>
      <w:r>
        <w:t xml:space="preserve">, který nese za třetí pilíř Inovační strategie manažerskou odpovědnost, v panelu řečníků zastoupil Jiří </w:t>
      </w:r>
      <w:proofErr w:type="spellStart"/>
      <w:r>
        <w:t>Krechl</w:t>
      </w:r>
      <w:proofErr w:type="spellEnd"/>
      <w:r>
        <w:t xml:space="preserve">, který se tématu </w:t>
      </w:r>
      <w:r w:rsidRPr="00412682">
        <w:t>výzkum</w:t>
      </w:r>
      <w:r>
        <w:t xml:space="preserve">u </w:t>
      </w:r>
      <w:r w:rsidRPr="00412682">
        <w:t>a inovac</w:t>
      </w:r>
      <w:r>
        <w:t>í</w:t>
      </w:r>
      <w:r w:rsidRPr="00412682">
        <w:t xml:space="preserve"> </w:t>
      </w:r>
      <w:r>
        <w:t>v </w:t>
      </w:r>
      <w:r w:rsidRPr="00412682">
        <w:t>agent</w:t>
      </w:r>
      <w:r>
        <w:t>uře věnuje. Zkušenostmi nejen se zakládáním spin-</w:t>
      </w:r>
      <w:proofErr w:type="spellStart"/>
      <w:r>
        <w:t>off</w:t>
      </w:r>
      <w:proofErr w:type="spellEnd"/>
      <w:r>
        <w:t xml:space="preserve"> společností v akademickém prostředí do diskuse přispěl i Martin Fusek, jednatel IOCB TECH s.r.o., dceřiné společnosti ÚOCHB (Ústavu organické chemie a</w:t>
      </w:r>
      <w:r w:rsidR="009521EF">
        <w:t> </w:t>
      </w:r>
      <w:r>
        <w:t xml:space="preserve">biochemie AV ČR), specializované na transfer znalostí.   </w:t>
      </w:r>
    </w:p>
    <w:p w14:paraId="2FAEF215" w14:textId="24F453D4" w:rsidR="00BE0261" w:rsidRDefault="00BE0261" w:rsidP="00BE0261">
      <w:r>
        <w:t xml:space="preserve">V sále nechyběli zástupci Akademické rady AV ČR Lenka Vostrá a Josef Lazar, který je v radě gestorem technologického transferu, dále právník Matěj </w:t>
      </w:r>
      <w:proofErr w:type="spellStart"/>
      <w:r>
        <w:t>Kliman</w:t>
      </w:r>
      <w:proofErr w:type="spellEnd"/>
      <w:r>
        <w:t>, specialista na oblast veřejné podpory výzkumu a vývoje, Hana Kosová, ředitelka CPPT (Centra pro přenos poznatků a technologií UK), Bohumil Havel, mj. autor Zákona o</w:t>
      </w:r>
      <w:r w:rsidR="009521EF">
        <w:t> </w:t>
      </w:r>
      <w:r>
        <w:t>obchodních korporacích, z Ústavu státu a práva AV ČR a řada dalších odborníků věnujících se transferu znalostí.</w:t>
      </w:r>
    </w:p>
    <w:p w14:paraId="6589E798" w14:textId="77777777" w:rsidR="00BE0261" w:rsidRDefault="00BE0261" w:rsidP="00BE0261">
      <w:r>
        <w:t>„</w:t>
      </w:r>
      <w:r w:rsidRPr="00A712F4">
        <w:rPr>
          <w:i/>
        </w:rPr>
        <w:t>Téma spin-</w:t>
      </w:r>
      <w:proofErr w:type="spellStart"/>
      <w:r w:rsidRPr="00A712F4">
        <w:rPr>
          <w:i/>
        </w:rPr>
        <w:t>off</w:t>
      </w:r>
      <w:proofErr w:type="spellEnd"/>
      <w:r w:rsidRPr="00A712F4">
        <w:rPr>
          <w:i/>
        </w:rPr>
        <w:t xml:space="preserve"> je aktuální a </w:t>
      </w:r>
      <w:r>
        <w:rPr>
          <w:i/>
        </w:rPr>
        <w:t>z</w:t>
      </w:r>
      <w:r w:rsidRPr="00A712F4">
        <w:rPr>
          <w:i/>
        </w:rPr>
        <w:t>ájem o debatu o rizicích či podpoře jejich vzniku je velký,</w:t>
      </w:r>
      <w:r>
        <w:t>“ říká Lenka Scholzová, vedoucí CETTAV a dodává: „</w:t>
      </w:r>
      <w:r w:rsidRPr="00A712F4">
        <w:rPr>
          <w:i/>
        </w:rPr>
        <w:t>z mého pohledu je nejdůležitější zmíněná potřeba kritické úvahy o projektech směřujících k založení spin-</w:t>
      </w:r>
      <w:proofErr w:type="spellStart"/>
      <w:r w:rsidRPr="00A712F4">
        <w:rPr>
          <w:i/>
        </w:rPr>
        <w:t>off</w:t>
      </w:r>
      <w:proofErr w:type="spellEnd"/>
      <w:r w:rsidRPr="00A712F4">
        <w:rPr>
          <w:i/>
        </w:rPr>
        <w:t xml:space="preserve">, což je a měla by být role interních </w:t>
      </w:r>
      <w:proofErr w:type="spellStart"/>
      <w:r w:rsidRPr="00A712F4">
        <w:rPr>
          <w:i/>
        </w:rPr>
        <w:t>transferářů</w:t>
      </w:r>
      <w:proofErr w:type="spellEnd"/>
      <w:r w:rsidRPr="00A712F4">
        <w:rPr>
          <w:i/>
        </w:rPr>
        <w:t>. Snižuje se tak riziko ztráty</w:t>
      </w:r>
      <w:r>
        <w:rPr>
          <w:i/>
        </w:rPr>
        <w:t xml:space="preserve"> nejen</w:t>
      </w:r>
      <w:r w:rsidRPr="00A712F4">
        <w:rPr>
          <w:i/>
        </w:rPr>
        <w:t xml:space="preserve"> peněz, ale především času a energie všech zúčastněných. Dobře promyšlený a připravený byznys plán výrazně zvyšuje šanci na úspěch a my v CeTTAV jsme připraveni s jeho přípravou pomoci.</w:t>
      </w:r>
      <w:r>
        <w:t>“</w:t>
      </w:r>
    </w:p>
    <w:p w14:paraId="7686957F" w14:textId="77777777" w:rsidR="00BE0261" w:rsidRDefault="00BE0261" w:rsidP="00BE0261">
      <w:r>
        <w:t xml:space="preserve">Diskutující zhodnotili stav investičního prostředí v ČR, jeho slabiny, ale i opatření a programy podpory, které poskytuje nebo připravuje </w:t>
      </w:r>
      <w:proofErr w:type="spellStart"/>
      <w:r>
        <w:t>CzechInvest</w:t>
      </w:r>
      <w:proofErr w:type="spellEnd"/>
      <w:r>
        <w:t>, TAČR a MPO. Shodli se na preferenci jejich dlouhodobosti a potřeby stability jejich financování, nicméně zmínili i administrativní potíže, které vznik podobných programů provází. Stále také chybí jednotná představa o systému podpory fáze před založením spin-</w:t>
      </w:r>
      <w:proofErr w:type="spellStart"/>
      <w:r>
        <w:t>off</w:t>
      </w:r>
      <w:proofErr w:type="spellEnd"/>
      <w:r>
        <w:t>, která je ve vědeckém prostředí klíčová. V této souvislosti přítomní vyslovili jednoznačnou podporu modelu programu Gama TAČR.</w:t>
      </w:r>
    </w:p>
    <w:p w14:paraId="24221CD4" w14:textId="77777777" w:rsidR="00BE0261" w:rsidRDefault="00BE0261" w:rsidP="00BE0261">
      <w:r>
        <w:t>Založení spin-</w:t>
      </w:r>
      <w:proofErr w:type="spellStart"/>
      <w:r>
        <w:t>off</w:t>
      </w:r>
      <w:proofErr w:type="spellEnd"/>
      <w:r>
        <w:t xml:space="preserve"> společnosti je jednou z cest, jak převádět výsledky výzkumu do praxe. „</w:t>
      </w:r>
      <w:r w:rsidRPr="00AB740F">
        <w:rPr>
          <w:i/>
        </w:rPr>
        <w:t>Ideální by bylo, kdyby tyto společnosti vznikaly z přetlaku myšlenek. My ale nejdříve stavíme králíkárnu a pak do ní hledáme králíky,</w:t>
      </w:r>
      <w:r>
        <w:t xml:space="preserve">“ glosoval stav Jiří </w:t>
      </w:r>
      <w:proofErr w:type="spellStart"/>
      <w:r>
        <w:t>Krechl</w:t>
      </w:r>
      <w:proofErr w:type="spellEnd"/>
      <w:r>
        <w:t>. Odborníci si uvědomují, že vklad finančních prostředků ze strany veřejných výzkumných organizací je rizikový. Toto riziko by měli nést zejména investoři, ale pomoci mohou i státní zdroje. Primárním vkladem výzkumné organizace je její duševní vlastnictví. „</w:t>
      </w:r>
      <w:r w:rsidRPr="00AB740F">
        <w:rPr>
          <w:i/>
        </w:rPr>
        <w:t>Další riziko představuje fakt, že u nás není vyřešen problém konfliktu zájmů vědce, zaměstnance, který pracuje na vysoké škole či ve výzkumné instituci a současně založí a vede společnost v oboru blízkém svému výzkumu</w:t>
      </w:r>
      <w:r w:rsidRPr="00160878">
        <w:t>,</w:t>
      </w:r>
      <w:r>
        <w:t>“</w:t>
      </w:r>
      <w:r w:rsidRPr="00160878">
        <w:t xml:space="preserve"> </w:t>
      </w:r>
      <w:r>
        <w:t xml:space="preserve">připomněl existující šedou zónu Martin Fusek. </w:t>
      </w:r>
    </w:p>
    <w:p w14:paraId="08262972" w14:textId="77777777" w:rsidR="00BE0261" w:rsidRDefault="00BE0261" w:rsidP="00BE0261">
      <w:r>
        <w:t>V managementu těchto rizik a v zastřešování procesů transferu znalostí je role interní transferové kanceláře nezastupitelná, potvrdila Hana Kosová. „</w:t>
      </w:r>
      <w:r w:rsidRPr="00A712F4">
        <w:rPr>
          <w:i/>
        </w:rPr>
        <w:t xml:space="preserve">V rámci univerzitního inovačního ekosystému těžíme ze synergie mezi interní transferovou kanceláří CPPT, starající se o nalezení a ošetření výsledku, a dceřinou společnosti CUIP, naší prodlouženou obchodní rukou, která je </w:t>
      </w:r>
      <w:proofErr w:type="gramStart"/>
      <w:r w:rsidRPr="00A712F4">
        <w:rPr>
          <w:i/>
        </w:rPr>
        <w:t>100%</w:t>
      </w:r>
      <w:proofErr w:type="gramEnd"/>
      <w:r w:rsidRPr="00A712F4">
        <w:rPr>
          <w:i/>
        </w:rPr>
        <w:t xml:space="preserve"> vlastněna UK</w:t>
      </w:r>
      <w:r>
        <w:t>“. Dle Martina Fuska je však nereálné, aby každé pracoviště disponovalo svou vlastní dceřinou společností, jak je tomu v případe UOCHB. Roli interní transferové kanceláře opakovaně zdůraznil i Bohumil Havel, dle kterého by CETTAV měl ústavy AV ČR při zakládání spin-</w:t>
      </w:r>
      <w:proofErr w:type="spellStart"/>
      <w:r>
        <w:t>off</w:t>
      </w:r>
      <w:proofErr w:type="spellEnd"/>
      <w:r>
        <w:t xml:space="preserve"> podporovat.</w:t>
      </w:r>
    </w:p>
    <w:p w14:paraId="4DFDCF93" w14:textId="77777777" w:rsidR="000E52F5" w:rsidRDefault="000E52F5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1D110901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31933398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11344967" w14:textId="77777777" w:rsidR="00BE0261" w:rsidRDefault="00BE0261" w:rsidP="00BE0261"/>
    <w:p w14:paraId="64709FE7" w14:textId="6B2BFA75" w:rsidR="00BE0261" w:rsidRDefault="00BE0261" w:rsidP="00BE0261">
      <w:r>
        <w:t>Jak se povedlo naplnit téma téměř dvou hodinové diskuse shrnul právník CETTAV a moderátor akce Michal Beluský: „</w:t>
      </w:r>
      <w:r w:rsidRPr="001264A5">
        <w:rPr>
          <w:i/>
        </w:rPr>
        <w:t>Ve spolupráci s vedením AV ČR nastavíme pozici a pravomoci CETTAV tak, že budeme schopni aktivně minimalizovat v diskusi uváděná rizika zakládání spin-</w:t>
      </w:r>
      <w:proofErr w:type="spellStart"/>
      <w:r w:rsidRPr="001264A5">
        <w:rPr>
          <w:i/>
        </w:rPr>
        <w:t>off</w:t>
      </w:r>
      <w:proofErr w:type="spellEnd"/>
      <w:r w:rsidRPr="001264A5">
        <w:rPr>
          <w:i/>
        </w:rPr>
        <w:t xml:space="preserve"> a přispěj</w:t>
      </w:r>
      <w:r>
        <w:rPr>
          <w:i/>
        </w:rPr>
        <w:t>e</w:t>
      </w:r>
      <w:r w:rsidRPr="001264A5">
        <w:rPr>
          <w:i/>
        </w:rPr>
        <w:t>me tak ke zvýšení atraktivnosti tohoto způsobu transferu nejen pro zakladatele těchto firem, ale i pro vedení pracovišť a potenciální investory</w:t>
      </w:r>
      <w:r>
        <w:t>.“</w:t>
      </w:r>
    </w:p>
    <w:p w14:paraId="4FB356A1" w14:textId="59054B83" w:rsidR="00BE0261" w:rsidRDefault="00BE0261" w:rsidP="00BE0261">
      <w:pPr>
        <w:rPr>
          <w:b/>
          <w:bCs/>
        </w:rPr>
      </w:pPr>
      <w:r w:rsidRPr="00BC6AC1">
        <w:rPr>
          <w:rStyle w:val="Siln"/>
        </w:rPr>
        <w:t xml:space="preserve">Centrum transferu technologií </w:t>
      </w:r>
      <w:r>
        <w:rPr>
          <w:rStyle w:val="Siln"/>
        </w:rPr>
        <w:t>(</w:t>
      </w:r>
      <w:r w:rsidRPr="00BC6AC1">
        <w:rPr>
          <w:rStyle w:val="Siln"/>
        </w:rPr>
        <w:t>CETTAV</w:t>
      </w:r>
      <w:r>
        <w:rPr>
          <w:rStyle w:val="Siln"/>
        </w:rPr>
        <w:t xml:space="preserve">) </w:t>
      </w:r>
      <w:r w:rsidRPr="00F26909">
        <w:rPr>
          <w:rStyle w:val="Siln"/>
        </w:rPr>
        <w:t>je</w:t>
      </w:r>
      <w:r>
        <w:rPr>
          <w:rStyle w:val="Siln"/>
        </w:rPr>
        <w:t xml:space="preserve"> </w:t>
      </w:r>
      <w:r>
        <w:t>specializované oddělení Střediska společných činností AV ČR. Poskytuje služby a vzdělávání všem pracovištím AV ČR v oblasti uplatňování výsledků výzkumu v praxi. Pomáhá vědeckým týmům s konkrétními případy komercializace výsledků, analýzou potenciálu praktického uplatnění, strategií ochrany duševního vlastnictví i smluvním zajištěním spoluprací s aplikačním sektorem. Přispívá k</w:t>
      </w:r>
      <w:r w:rsidR="009521EF">
        <w:t> </w:t>
      </w:r>
      <w:r>
        <w:t xml:space="preserve">profesnímu rozvoji pracovníků transferu znalostí. </w:t>
      </w:r>
    </w:p>
    <w:p w14:paraId="1AFEC886" w14:textId="77777777" w:rsidR="00BE0261" w:rsidRDefault="00BE0261" w:rsidP="00BE0261">
      <w:r>
        <w:t xml:space="preserve">Záznam diskuse naleznete zde </w:t>
      </w:r>
    </w:p>
    <w:p w14:paraId="3B5F7CD2" w14:textId="77777777" w:rsidR="00BE0261" w:rsidRDefault="00140E6A" w:rsidP="00BE0261">
      <w:hyperlink r:id="rId10" w:history="1">
        <w:r w:rsidR="00BE0261">
          <w:rPr>
            <w:rStyle w:val="Hypertextovodkaz"/>
          </w:rPr>
          <w:t>https://www.youtube.com/watch?v=umpgOs1OKR0</w:t>
        </w:r>
      </w:hyperlink>
    </w:p>
    <w:p w14:paraId="59444A59" w14:textId="77777777" w:rsidR="00BE0261" w:rsidRDefault="00140E6A" w:rsidP="00BE0261">
      <w:hyperlink r:id="rId11" w:history="1">
        <w:r w:rsidR="00BE0261">
          <w:rPr>
            <w:rStyle w:val="Hypertextovodkaz"/>
          </w:rPr>
          <w:t>https://www.youtube.com/watch?v=_FukkO6n0zU</w:t>
        </w:r>
      </w:hyperlink>
    </w:p>
    <w:p w14:paraId="0D029EA7" w14:textId="77777777" w:rsidR="00BE0261" w:rsidRDefault="00BE0261" w:rsidP="00BE0261">
      <w:proofErr w:type="gramStart"/>
      <w:r>
        <w:t>Autor - Tým</w:t>
      </w:r>
      <w:proofErr w:type="gramEnd"/>
      <w:r>
        <w:t xml:space="preserve"> CETTAV</w:t>
      </w:r>
    </w:p>
    <w:p w14:paraId="772F2BF3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76594412" w14:textId="59954B2B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38FBC025" w14:textId="77777777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03B5A949" w14:textId="2CFF2162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52B07582" w14:textId="5698CBF3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3ED50D4F" w14:textId="77777777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4F71885D" w14:textId="2D0714CC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>Více informací poskytne:</w:t>
      </w:r>
    </w:p>
    <w:p w14:paraId="114157B8" w14:textId="106ECB06" w:rsidR="00BE0261" w:rsidRPr="00BE0261" w:rsidRDefault="00BE0261" w:rsidP="00BE0261">
      <w:pPr>
        <w:spacing w:line="259" w:lineRule="auto"/>
        <w:ind w:right="-568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BE0261">
        <w:rPr>
          <w:rFonts w:ascii="Arial" w:hAnsi="Arial" w:cs="Arial"/>
          <w:b/>
          <w:noProof/>
          <w:sz w:val="20"/>
          <w:szCs w:val="20"/>
          <w:lang w:eastAsia="cs-CZ"/>
        </w:rPr>
        <w:t>Jiří KAVAN</w:t>
      </w:r>
    </w:p>
    <w:p w14:paraId="12CEE25F" w14:textId="77777777" w:rsidR="00BE0261" w:rsidRPr="00BE0261" w:rsidRDefault="00BE0261" w:rsidP="00BE0261">
      <w:pPr>
        <w:spacing w:line="259" w:lineRule="auto"/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r w:rsidRPr="00BE0261">
        <w:rPr>
          <w:rFonts w:ascii="Arial" w:hAnsi="Arial" w:cs="Arial"/>
          <w:noProof/>
          <w:sz w:val="20"/>
          <w:szCs w:val="20"/>
          <w:lang w:eastAsia="cs-CZ"/>
        </w:rPr>
        <w:t>Komunikace a marketing</w:t>
      </w:r>
    </w:p>
    <w:p w14:paraId="14A4CABB" w14:textId="23B60EC5" w:rsidR="00BE0261" w:rsidRPr="00BE0261" w:rsidRDefault="00BE0261" w:rsidP="00BE0261">
      <w:pPr>
        <w:spacing w:line="259" w:lineRule="auto"/>
        <w:ind w:right="-568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BE0261">
        <w:rPr>
          <w:rFonts w:ascii="Arial" w:hAnsi="Arial" w:cs="Arial"/>
          <w:b/>
          <w:noProof/>
          <w:sz w:val="20"/>
          <w:szCs w:val="20"/>
          <w:lang w:eastAsia="cs-CZ"/>
        </w:rPr>
        <w:t>Centrum transferu technologií AV ČR</w:t>
      </w:r>
    </w:p>
    <w:p w14:paraId="1102150B" w14:textId="77777777" w:rsidR="00BE0261" w:rsidRPr="00BE0261" w:rsidRDefault="00BE0261" w:rsidP="00BE0261">
      <w:pPr>
        <w:spacing w:line="259" w:lineRule="auto"/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r w:rsidRPr="00BE0261">
        <w:rPr>
          <w:rFonts w:ascii="Arial" w:hAnsi="Arial" w:cs="Arial"/>
          <w:noProof/>
          <w:sz w:val="20"/>
          <w:szCs w:val="20"/>
          <w:lang w:eastAsia="cs-CZ"/>
        </w:rPr>
        <w:t>Středisko společných činností AV ČR, v. v. i.</w:t>
      </w:r>
    </w:p>
    <w:p w14:paraId="17EE07D0" w14:textId="77777777" w:rsidR="00BE0261" w:rsidRPr="00BE0261" w:rsidRDefault="00BE0261" w:rsidP="00BE0261">
      <w:pPr>
        <w:spacing w:line="259" w:lineRule="auto"/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r w:rsidRPr="00BE0261">
        <w:rPr>
          <w:rFonts w:ascii="Arial" w:hAnsi="Arial" w:cs="Arial"/>
          <w:noProof/>
          <w:sz w:val="20"/>
          <w:szCs w:val="20"/>
          <w:lang w:eastAsia="cs-CZ"/>
        </w:rPr>
        <w:t>Vodičkova 40, 110 00 Praha 1</w:t>
      </w:r>
    </w:p>
    <w:p w14:paraId="3BD62B6B" w14:textId="77777777" w:rsidR="00BE0261" w:rsidRPr="00BE0261" w:rsidRDefault="00BE0261" w:rsidP="00BE0261">
      <w:pPr>
        <w:spacing w:line="259" w:lineRule="auto"/>
        <w:ind w:right="-568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BE0261">
        <w:rPr>
          <w:rFonts w:ascii="Arial" w:hAnsi="Arial" w:cs="Arial"/>
          <w:b/>
          <w:noProof/>
          <w:sz w:val="20"/>
          <w:szCs w:val="20"/>
          <w:lang w:eastAsia="cs-CZ"/>
        </w:rPr>
        <w:t>+420 734 181 107</w:t>
      </w:r>
    </w:p>
    <w:p w14:paraId="224C6C0F" w14:textId="77777777" w:rsidR="00BE0261" w:rsidRPr="00BE0261" w:rsidRDefault="00140E6A" w:rsidP="00BE0261">
      <w:pPr>
        <w:spacing w:line="259" w:lineRule="auto"/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hyperlink r:id="rId12" w:history="1">
        <w:r w:rsidR="00BE0261" w:rsidRPr="00BE0261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kavanj@ssc.cas.cz</w:t>
        </w:r>
      </w:hyperlink>
    </w:p>
    <w:p w14:paraId="68DA3A29" w14:textId="77777777" w:rsidR="00BE0261" w:rsidRPr="00BE0261" w:rsidRDefault="00140E6A" w:rsidP="00BE0261">
      <w:pPr>
        <w:spacing w:line="259" w:lineRule="auto"/>
        <w:ind w:right="-568"/>
        <w:rPr>
          <w:rFonts w:ascii="Arial" w:hAnsi="Arial" w:cs="Arial"/>
          <w:noProof/>
          <w:sz w:val="20"/>
          <w:szCs w:val="20"/>
          <w:lang w:eastAsia="cs-CZ"/>
        </w:rPr>
      </w:pPr>
      <w:hyperlink r:id="rId13" w:history="1">
        <w:r w:rsidR="00BE0261" w:rsidRPr="00BE0261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http://ssc.cas.cz/cs/transfer</w:t>
        </w:r>
      </w:hyperlink>
      <w:r w:rsidR="00BE0261" w:rsidRPr="00BE0261">
        <w:rPr>
          <w:rFonts w:ascii="Arial" w:hAnsi="Arial" w:cs="Arial"/>
          <w:noProof/>
          <w:sz w:val="20"/>
          <w:szCs w:val="20"/>
          <w:lang w:eastAsia="cs-CZ"/>
        </w:rPr>
        <w:t xml:space="preserve">  </w:t>
      </w:r>
    </w:p>
    <w:p w14:paraId="2286A26C" w14:textId="77777777" w:rsidR="00BE0261" w:rsidRDefault="00BE0261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4EEC961D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6547C62D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0D8A9EEB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19FF466F" w14:textId="77777777" w:rsidR="00E6194B" w:rsidRDefault="00E6194B" w:rsidP="006D5676">
      <w:pPr>
        <w:ind w:right="-568"/>
        <w:rPr>
          <w:rFonts w:ascii="Arial" w:hAnsi="Arial" w:cs="Arial"/>
          <w:noProof/>
          <w:sz w:val="20"/>
          <w:szCs w:val="20"/>
          <w:lang w:eastAsia="cs-CZ"/>
        </w:rPr>
      </w:pPr>
    </w:p>
    <w:p w14:paraId="713DD87A" w14:textId="77777777" w:rsidR="00E6194B" w:rsidRPr="006D5676" w:rsidRDefault="00E6194B" w:rsidP="006D5676">
      <w:pPr>
        <w:ind w:right="-568"/>
        <w:rPr>
          <w:rFonts w:ascii="Arial" w:hAnsi="Arial" w:cs="Arial"/>
          <w:sz w:val="20"/>
          <w:szCs w:val="20"/>
        </w:rPr>
      </w:pPr>
    </w:p>
    <w:sectPr w:rsidR="00E6194B" w:rsidRPr="006D5676" w:rsidSect="006046FC">
      <w:headerReference w:type="default" r:id="rId14"/>
      <w:footerReference w:type="default" r:id="rId15"/>
      <w:pgSz w:w="11906" w:h="16838"/>
      <w:pgMar w:top="1134" w:right="1417" w:bottom="142" w:left="851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E3D5" w14:textId="77777777" w:rsidR="00140E6A" w:rsidRDefault="00140E6A" w:rsidP="001520F8">
      <w:pPr>
        <w:spacing w:after="0" w:line="240" w:lineRule="auto"/>
      </w:pPr>
      <w:r>
        <w:separator/>
      </w:r>
    </w:p>
  </w:endnote>
  <w:endnote w:type="continuationSeparator" w:id="0">
    <w:p w14:paraId="5D1B030C" w14:textId="77777777" w:rsidR="00140E6A" w:rsidRDefault="00140E6A" w:rsidP="001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E0D6" w14:textId="77777777" w:rsidR="006D5676" w:rsidRDefault="006D5676">
    <w:pPr>
      <w:pStyle w:val="Zpat"/>
    </w:pPr>
    <w:r w:rsidRPr="005A0EE2">
      <w:rPr>
        <w:rFonts w:ascii="Arial" w:hAnsi="Arial" w:cs="Arial"/>
        <w:noProof/>
        <w:lang w:eastAsia="cs-CZ"/>
      </w:rPr>
      <w:drawing>
        <wp:inline distT="0" distB="0" distL="0" distR="0" wp14:anchorId="32260882" wp14:editId="78212396">
          <wp:extent cx="2590800" cy="316361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_msm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24" cy="35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F314" w14:textId="77777777" w:rsidR="00140E6A" w:rsidRDefault="00140E6A" w:rsidP="001520F8">
      <w:pPr>
        <w:spacing w:after="0" w:line="240" w:lineRule="auto"/>
      </w:pPr>
      <w:r>
        <w:separator/>
      </w:r>
    </w:p>
  </w:footnote>
  <w:footnote w:type="continuationSeparator" w:id="0">
    <w:p w14:paraId="51DD30B1" w14:textId="77777777" w:rsidR="00140E6A" w:rsidRDefault="00140E6A" w:rsidP="0015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CBCE" w14:textId="77777777" w:rsidR="00E6194B" w:rsidRDefault="00E6194B" w:rsidP="001B4D22">
    <w:pPr>
      <w:pStyle w:val="Zhlav"/>
      <w:ind w:left="-142"/>
    </w:pPr>
    <w:r>
      <w:rPr>
        <w:noProof/>
        <w:lang w:eastAsia="cs-CZ"/>
      </w:rPr>
      <w:drawing>
        <wp:inline distT="0" distB="0" distL="0" distR="0" wp14:anchorId="0E6C55FC" wp14:editId="6D2B668E">
          <wp:extent cx="2187082" cy="36195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ozadi_do_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847" cy="40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D6E62" w14:textId="77777777" w:rsidR="00DD7E8C" w:rsidRDefault="00DD7E8C" w:rsidP="001B4D22">
    <w:pPr>
      <w:pStyle w:val="Zhlav"/>
      <w:ind w:left="-142"/>
    </w:pPr>
  </w:p>
  <w:p w14:paraId="07A0898F" w14:textId="77777777" w:rsidR="00DD7E8C" w:rsidRDefault="00DD7E8C" w:rsidP="001B4D22">
    <w:pPr>
      <w:pStyle w:val="Zhlav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5485"/>
    <w:multiLevelType w:val="hybridMultilevel"/>
    <w:tmpl w:val="5A0A937A"/>
    <w:lvl w:ilvl="0" w:tplc="E73A4E14">
      <w:start w:val="1"/>
      <w:numFmt w:val="decimal"/>
      <w:lvlText w:val="%1."/>
      <w:lvlJc w:val="left"/>
      <w:pPr>
        <w:ind w:left="306" w:hanging="360"/>
      </w:pPr>
    </w:lvl>
    <w:lvl w:ilvl="1" w:tplc="04050019">
      <w:start w:val="1"/>
      <w:numFmt w:val="lowerLetter"/>
      <w:lvlText w:val="%2."/>
      <w:lvlJc w:val="left"/>
      <w:pPr>
        <w:ind w:left="1953" w:hanging="360"/>
      </w:pPr>
    </w:lvl>
    <w:lvl w:ilvl="2" w:tplc="0405001B">
      <w:start w:val="1"/>
      <w:numFmt w:val="lowerRoman"/>
      <w:lvlText w:val="%3."/>
      <w:lvlJc w:val="right"/>
      <w:pPr>
        <w:ind w:left="2673" w:hanging="180"/>
      </w:pPr>
    </w:lvl>
    <w:lvl w:ilvl="3" w:tplc="0405000F">
      <w:start w:val="1"/>
      <w:numFmt w:val="decimal"/>
      <w:lvlText w:val="%4."/>
      <w:lvlJc w:val="left"/>
      <w:pPr>
        <w:ind w:left="3393" w:hanging="360"/>
      </w:pPr>
    </w:lvl>
    <w:lvl w:ilvl="4" w:tplc="04050019">
      <w:start w:val="1"/>
      <w:numFmt w:val="lowerLetter"/>
      <w:lvlText w:val="%5."/>
      <w:lvlJc w:val="left"/>
      <w:pPr>
        <w:ind w:left="4113" w:hanging="360"/>
      </w:pPr>
    </w:lvl>
    <w:lvl w:ilvl="5" w:tplc="0405001B">
      <w:start w:val="1"/>
      <w:numFmt w:val="lowerRoman"/>
      <w:lvlText w:val="%6."/>
      <w:lvlJc w:val="right"/>
      <w:pPr>
        <w:ind w:left="4833" w:hanging="180"/>
      </w:pPr>
    </w:lvl>
    <w:lvl w:ilvl="6" w:tplc="0405000F">
      <w:start w:val="1"/>
      <w:numFmt w:val="decimal"/>
      <w:lvlText w:val="%7."/>
      <w:lvlJc w:val="left"/>
      <w:pPr>
        <w:ind w:left="5553" w:hanging="360"/>
      </w:pPr>
    </w:lvl>
    <w:lvl w:ilvl="7" w:tplc="04050019">
      <w:start w:val="1"/>
      <w:numFmt w:val="lowerLetter"/>
      <w:lvlText w:val="%8."/>
      <w:lvlJc w:val="left"/>
      <w:pPr>
        <w:ind w:left="6273" w:hanging="360"/>
      </w:pPr>
    </w:lvl>
    <w:lvl w:ilvl="8" w:tplc="0405001B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7D"/>
    <w:rsid w:val="000179AA"/>
    <w:rsid w:val="00073093"/>
    <w:rsid w:val="000D39AB"/>
    <w:rsid w:val="000E52F5"/>
    <w:rsid w:val="000F05C1"/>
    <w:rsid w:val="00140E6A"/>
    <w:rsid w:val="001520F8"/>
    <w:rsid w:val="001B4D22"/>
    <w:rsid w:val="001F2956"/>
    <w:rsid w:val="00201ED7"/>
    <w:rsid w:val="002443E2"/>
    <w:rsid w:val="002F4912"/>
    <w:rsid w:val="003E1C21"/>
    <w:rsid w:val="00462409"/>
    <w:rsid w:val="004C14DD"/>
    <w:rsid w:val="00513326"/>
    <w:rsid w:val="005A0940"/>
    <w:rsid w:val="005A0EE2"/>
    <w:rsid w:val="006046FC"/>
    <w:rsid w:val="00635326"/>
    <w:rsid w:val="006D5676"/>
    <w:rsid w:val="00747A90"/>
    <w:rsid w:val="00787E83"/>
    <w:rsid w:val="007E6955"/>
    <w:rsid w:val="00845DAC"/>
    <w:rsid w:val="009521EF"/>
    <w:rsid w:val="00955545"/>
    <w:rsid w:val="0099108D"/>
    <w:rsid w:val="00A30896"/>
    <w:rsid w:val="00A8447D"/>
    <w:rsid w:val="00AA64AB"/>
    <w:rsid w:val="00B0751D"/>
    <w:rsid w:val="00B1137C"/>
    <w:rsid w:val="00B710A8"/>
    <w:rsid w:val="00B93BF7"/>
    <w:rsid w:val="00BE0261"/>
    <w:rsid w:val="00BE73C8"/>
    <w:rsid w:val="00C41FBF"/>
    <w:rsid w:val="00CD6D6C"/>
    <w:rsid w:val="00CE48BA"/>
    <w:rsid w:val="00D36818"/>
    <w:rsid w:val="00DA2F96"/>
    <w:rsid w:val="00DA4B55"/>
    <w:rsid w:val="00DD7E8C"/>
    <w:rsid w:val="00E6194B"/>
    <w:rsid w:val="00E9446B"/>
    <w:rsid w:val="00ED0313"/>
    <w:rsid w:val="00ED7630"/>
    <w:rsid w:val="00E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16666"/>
  <w15:chartTrackingRefBased/>
  <w15:docId w15:val="{46F4DE1B-7416-4E5A-B225-D1D4D74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0261"/>
  </w:style>
  <w:style w:type="paragraph" w:styleId="Nadpis1">
    <w:name w:val="heading 1"/>
    <w:basedOn w:val="Normln"/>
    <w:next w:val="Normln"/>
    <w:link w:val="Nadpis1Char"/>
    <w:uiPriority w:val="9"/>
    <w:qFormat/>
    <w:rsid w:val="00BE026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026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026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4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0F8"/>
  </w:style>
  <w:style w:type="paragraph" w:styleId="Zpat">
    <w:name w:val="footer"/>
    <w:basedOn w:val="Normln"/>
    <w:link w:val="ZpatChar"/>
    <w:uiPriority w:val="99"/>
    <w:unhideWhenUsed/>
    <w:rsid w:val="001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0F8"/>
  </w:style>
  <w:style w:type="table" w:styleId="Mkatabulky">
    <w:name w:val="Table Grid"/>
    <w:basedOn w:val="Normlntabulka"/>
    <w:uiPriority w:val="39"/>
    <w:rsid w:val="0020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201E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iln">
    <w:name w:val="Strong"/>
    <w:basedOn w:val="Standardnpsmoodstavce"/>
    <w:uiPriority w:val="22"/>
    <w:qFormat/>
    <w:rsid w:val="00BE02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E02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2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026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026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026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026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026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026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26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026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026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E026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E02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BE026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26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0261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BE0261"/>
    <w:rPr>
      <w:i/>
      <w:iCs/>
      <w:color w:val="000000" w:themeColor="text1"/>
    </w:rPr>
  </w:style>
  <w:style w:type="paragraph" w:styleId="Bezmezer">
    <w:name w:val="No Spacing"/>
    <w:uiPriority w:val="1"/>
    <w:qFormat/>
    <w:rsid w:val="00BE026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E026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E02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26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0261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E026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E026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BE026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E026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BE026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2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sc.cas.cz/cs/transf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vanj@ssc.c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_FukkO6n0z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umpgOs1OKR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8AEDD2DEC484596966DFFAA127AB8" ma:contentTypeVersion="10" ma:contentTypeDescription="Vytvoří nový dokument" ma:contentTypeScope="" ma:versionID="d038d943467ba370884a3487ef734a6d">
  <xsd:schema xmlns:xsd="http://www.w3.org/2001/XMLSchema" xmlns:xs="http://www.w3.org/2001/XMLSchema" xmlns:p="http://schemas.microsoft.com/office/2006/metadata/properties" xmlns:ns3="29a49718-0bac-4c9c-8a55-f5dda364fb07" targetNamespace="http://schemas.microsoft.com/office/2006/metadata/properties" ma:root="true" ma:fieldsID="7fdb62689e2f7c6c102fad204e04b7d6" ns3:_="">
    <xsd:import namespace="29a49718-0bac-4c9c-8a55-f5dda364f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9718-0bac-4c9c-8a55-f5dda364f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FABC3-9E37-4CD5-B161-F583B4F1E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88315-55E0-47C1-BE9B-D4ACE8DA5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934DB-7DC5-409A-9AAB-878368F4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49718-0bac-4c9c-8a55-f5dda364f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Kozák</dc:creator>
  <cp:keywords/>
  <dc:description/>
  <cp:lastModifiedBy>Růžičková Markéta</cp:lastModifiedBy>
  <cp:revision>2</cp:revision>
  <dcterms:created xsi:type="dcterms:W3CDTF">2020-03-12T10:44:00Z</dcterms:created>
  <dcterms:modified xsi:type="dcterms:W3CDTF">2020-03-12T10:44:00Z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0x010100F158AEDD2DEC484596966DFFAA127AB8</vt:lpwstr>
  </property>
</Properties>
</file>