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5" w:rsidRPr="007D6C0D" w:rsidRDefault="005927BF" w:rsidP="006B30F4">
      <w:pPr>
        <w:jc w:val="center"/>
        <w:rPr>
          <w:rFonts w:ascii="Arial" w:hAnsi="Arial" w:cs="Arial"/>
          <w:b/>
          <w:sz w:val="32"/>
          <w:szCs w:val="32"/>
        </w:rPr>
      </w:pPr>
      <w:r w:rsidRPr="007D6C0D">
        <w:rPr>
          <w:rFonts w:ascii="Arial" w:hAnsi="Arial" w:cs="Arial"/>
          <w:b/>
          <w:sz w:val="32"/>
          <w:szCs w:val="32"/>
        </w:rPr>
        <w:t>Výroční z</w:t>
      </w:r>
      <w:r w:rsidR="006B30F4" w:rsidRPr="007D6C0D">
        <w:rPr>
          <w:rFonts w:ascii="Arial" w:hAnsi="Arial" w:cs="Arial"/>
          <w:b/>
          <w:sz w:val="32"/>
          <w:szCs w:val="32"/>
        </w:rPr>
        <w:t>práva o činnost</w:t>
      </w:r>
      <w:r w:rsidR="004E1479">
        <w:rPr>
          <w:rFonts w:ascii="Arial" w:hAnsi="Arial" w:cs="Arial"/>
          <w:b/>
          <w:sz w:val="32"/>
          <w:szCs w:val="32"/>
        </w:rPr>
        <w:t>i národního komitétu za rok 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B30F4" w:rsidTr="00D544B8">
        <w:tc>
          <w:tcPr>
            <w:tcW w:w="3085" w:type="dxa"/>
          </w:tcPr>
          <w:p w:rsidR="006B30F4" w:rsidRDefault="006B30F4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0F4">
              <w:rPr>
                <w:rFonts w:ascii="Arial" w:hAnsi="Arial" w:cs="Arial"/>
                <w:sz w:val="24"/>
                <w:szCs w:val="24"/>
              </w:rPr>
              <w:t>Úplný název komitétu</w:t>
            </w:r>
          </w:p>
          <w:p w:rsidR="00D544B8" w:rsidRPr="006B30F4" w:rsidRDefault="00D544B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7" w:type="dxa"/>
          </w:tcPr>
          <w:p w:rsidR="006B30F4" w:rsidRDefault="0060753A" w:rsidP="00607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Český národní komitét COSPAR</w:t>
            </w:r>
          </w:p>
        </w:tc>
      </w:tr>
      <w:tr w:rsidR="006B30F4" w:rsidTr="00D544B8">
        <w:tc>
          <w:tcPr>
            <w:tcW w:w="3085" w:type="dxa"/>
          </w:tcPr>
          <w:p w:rsidR="006B30F4" w:rsidRDefault="006B30F4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0F4">
              <w:rPr>
                <w:rFonts w:ascii="Arial" w:hAnsi="Arial" w:cs="Arial"/>
                <w:sz w:val="24"/>
                <w:szCs w:val="24"/>
              </w:rPr>
              <w:t>Název unie</w:t>
            </w:r>
          </w:p>
          <w:p w:rsidR="00D544B8" w:rsidRPr="006B30F4" w:rsidRDefault="00D544B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7" w:type="dxa"/>
          </w:tcPr>
          <w:p w:rsidR="006B30F4" w:rsidRDefault="0060753A" w:rsidP="00DC3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Committee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Space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Research</w:t>
            </w:r>
            <w:proofErr w:type="spellEnd"/>
          </w:p>
        </w:tc>
      </w:tr>
      <w:tr w:rsidR="006B30F4" w:rsidTr="00D544B8">
        <w:tc>
          <w:tcPr>
            <w:tcW w:w="3085" w:type="dxa"/>
          </w:tcPr>
          <w:p w:rsidR="006B30F4" w:rsidRDefault="006B30F4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0F4">
              <w:rPr>
                <w:rFonts w:ascii="Arial" w:hAnsi="Arial" w:cs="Arial"/>
                <w:sz w:val="24"/>
                <w:szCs w:val="24"/>
              </w:rPr>
              <w:t>Zkratka unie</w:t>
            </w:r>
          </w:p>
          <w:p w:rsidR="00D544B8" w:rsidRPr="006B30F4" w:rsidRDefault="00D544B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7" w:type="dxa"/>
          </w:tcPr>
          <w:p w:rsidR="006B30F4" w:rsidRDefault="0060753A" w:rsidP="00DC3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COSPAR</w:t>
            </w:r>
          </w:p>
        </w:tc>
      </w:tr>
      <w:tr w:rsidR="006B30F4" w:rsidTr="00D544B8">
        <w:tc>
          <w:tcPr>
            <w:tcW w:w="3085" w:type="dxa"/>
          </w:tcPr>
          <w:p w:rsidR="006B30F4" w:rsidRPr="00DC339D" w:rsidRDefault="006B30F4" w:rsidP="006B30F4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B30F4">
              <w:rPr>
                <w:rFonts w:ascii="Arial" w:hAnsi="Arial" w:cs="Arial"/>
                <w:sz w:val="24"/>
                <w:szCs w:val="24"/>
              </w:rPr>
              <w:t>Registrační číslo komitétu</w:t>
            </w:r>
            <w:r w:rsidR="00DC339D">
              <w:rPr>
                <w:rStyle w:val="Znakapoznpodarou"/>
                <w:rFonts w:ascii="Arial" w:hAnsi="Arial" w:cs="Arial"/>
                <w:sz w:val="24"/>
                <w:szCs w:val="24"/>
              </w:rPr>
              <w:footnoteReference w:id="1"/>
            </w:r>
          </w:p>
          <w:p w:rsidR="00D544B8" w:rsidRPr="006B30F4" w:rsidRDefault="00D544B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7" w:type="dxa"/>
          </w:tcPr>
          <w:p w:rsidR="006B30F4" w:rsidRDefault="0060753A" w:rsidP="00DC3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5927BF" w:rsidTr="00D544B8">
        <w:tc>
          <w:tcPr>
            <w:tcW w:w="3085" w:type="dxa"/>
          </w:tcPr>
          <w:p w:rsidR="005927BF" w:rsidRDefault="005927BF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webových stránek</w:t>
            </w:r>
          </w:p>
          <w:p w:rsidR="005927BF" w:rsidRPr="006B30F4" w:rsidRDefault="005927BF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7" w:type="dxa"/>
          </w:tcPr>
          <w:p w:rsidR="005927BF" w:rsidRDefault="0060753A" w:rsidP="00DC3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53A">
              <w:rPr>
                <w:rFonts w:ascii="Arial" w:hAnsi="Arial" w:cs="Arial"/>
                <w:b/>
                <w:sz w:val="24"/>
                <w:szCs w:val="24"/>
              </w:rPr>
              <w:t>http://</w:t>
            </w:r>
            <w:proofErr w:type="gramStart"/>
            <w:r w:rsidRPr="0060753A">
              <w:rPr>
                <w:rFonts w:ascii="Arial" w:hAnsi="Arial" w:cs="Arial"/>
                <w:b/>
                <w:sz w:val="24"/>
                <w:szCs w:val="24"/>
              </w:rPr>
              <w:t>www</w:t>
            </w:r>
            <w:proofErr w:type="gramEnd"/>
            <w:r w:rsidRPr="0060753A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Start"/>
            <w:r w:rsidRPr="0060753A">
              <w:rPr>
                <w:rFonts w:ascii="Arial" w:hAnsi="Arial" w:cs="Arial"/>
                <w:b/>
                <w:sz w:val="24"/>
                <w:szCs w:val="24"/>
              </w:rPr>
              <w:t>ufa</w:t>
            </w:r>
            <w:proofErr w:type="gramEnd"/>
            <w:r w:rsidRPr="0060753A">
              <w:rPr>
                <w:rFonts w:ascii="Arial" w:hAnsi="Arial" w:cs="Arial"/>
                <w:b/>
                <w:sz w:val="24"/>
                <w:szCs w:val="24"/>
              </w:rPr>
              <w:t>.cas.cz/odkazy/cospar.html</w:t>
            </w:r>
          </w:p>
        </w:tc>
      </w:tr>
      <w:tr w:rsidR="006B30F4" w:rsidTr="00D544B8">
        <w:tc>
          <w:tcPr>
            <w:tcW w:w="3085" w:type="dxa"/>
          </w:tcPr>
          <w:p w:rsidR="006B30F4" w:rsidRPr="00D544B8" w:rsidRDefault="004E147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D544B8">
              <w:rPr>
                <w:rFonts w:ascii="Arial" w:hAnsi="Arial" w:cs="Arial"/>
                <w:sz w:val="24"/>
                <w:szCs w:val="24"/>
              </w:rPr>
              <w:t>ýše</w:t>
            </w:r>
            <w:r w:rsidR="00CC384D">
              <w:rPr>
                <w:rFonts w:ascii="Arial" w:hAnsi="Arial" w:cs="Arial"/>
                <w:sz w:val="24"/>
                <w:szCs w:val="24"/>
              </w:rPr>
              <w:t xml:space="preserve"> členského příspěvku za rok 2016</w:t>
            </w:r>
          </w:p>
        </w:tc>
        <w:tc>
          <w:tcPr>
            <w:tcW w:w="6127" w:type="dxa"/>
          </w:tcPr>
          <w:p w:rsidR="006B30F4" w:rsidRDefault="004E1479" w:rsidP="00DC3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4353</w:t>
            </w:r>
            <w:r w:rsidR="0060753A">
              <w:rPr>
                <w:rFonts w:ascii="Arial" w:hAnsi="Arial" w:cs="Arial"/>
                <w:b/>
                <w:sz w:val="24"/>
                <w:szCs w:val="24"/>
              </w:rPr>
              <w:t>,- EUR</w:t>
            </w:r>
          </w:p>
        </w:tc>
      </w:tr>
      <w:tr w:rsidR="006B30F4" w:rsidTr="00D544B8">
        <w:tc>
          <w:tcPr>
            <w:tcW w:w="3085" w:type="dxa"/>
          </w:tcPr>
          <w:p w:rsidR="006B30F4" w:rsidRPr="00D544B8" w:rsidRDefault="00D544B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Předpokládaný termín dodání faktury </w:t>
            </w:r>
            <w:r w:rsidR="00CC384D">
              <w:rPr>
                <w:rFonts w:ascii="Arial" w:hAnsi="Arial" w:cs="Arial"/>
                <w:sz w:val="24"/>
                <w:szCs w:val="24"/>
              </w:rPr>
              <w:t>za členský příspěvek za rok 2016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</w:tcPr>
          <w:p w:rsidR="006B30F4" w:rsidRDefault="0060753A" w:rsidP="00DC3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Faktura již byla předána na AV ČR</w:t>
            </w:r>
          </w:p>
        </w:tc>
      </w:tr>
      <w:tr w:rsidR="00F10FB3" w:rsidTr="00D544B8">
        <w:tc>
          <w:tcPr>
            <w:tcW w:w="3085" w:type="dxa"/>
          </w:tcPr>
          <w:p w:rsidR="00F10FB3" w:rsidRDefault="00F10FB3" w:rsidP="00F10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Příspěvek na cestovní náhrady na účast na zasedání příslušné mezinárodní unie</w:t>
            </w:r>
            <w:r w:rsidR="00CC384D">
              <w:rPr>
                <w:rFonts w:ascii="Arial" w:hAnsi="Arial" w:cs="Arial"/>
                <w:sz w:val="24"/>
                <w:szCs w:val="24"/>
              </w:rPr>
              <w:t xml:space="preserve"> v r. 2016</w:t>
            </w:r>
          </w:p>
        </w:tc>
        <w:tc>
          <w:tcPr>
            <w:tcW w:w="6127" w:type="dxa"/>
          </w:tcPr>
          <w:p w:rsidR="00F10FB3" w:rsidRDefault="009B0414" w:rsidP="00815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74377181"/>
                <w:placeholder>
                  <w:docPart w:val="DefaultPlaceholder_1082065159"/>
                </w:placeholder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CC384D">
                  <w:rPr>
                    <w:rFonts w:ascii="Arial" w:hAnsi="Arial" w:cs="Arial"/>
                    <w:b/>
                    <w:sz w:val="24"/>
                    <w:szCs w:val="24"/>
                  </w:rPr>
                  <w:t>ano</w:t>
                </w:r>
              </w:sdtContent>
            </w:sdt>
            <w:r w:rsidR="004E1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384D">
              <w:rPr>
                <w:rFonts w:ascii="Arial" w:hAnsi="Arial" w:cs="Arial"/>
                <w:b/>
                <w:sz w:val="24"/>
                <w:szCs w:val="24"/>
              </w:rPr>
              <w:t xml:space="preserve">– žádáme o příspěvek na cestu RNDr. V. </w:t>
            </w:r>
            <w:proofErr w:type="spellStart"/>
            <w:r w:rsidR="00CC384D">
              <w:rPr>
                <w:rFonts w:ascii="Arial" w:hAnsi="Arial" w:cs="Arial"/>
                <w:b/>
                <w:sz w:val="24"/>
                <w:szCs w:val="24"/>
              </w:rPr>
              <w:t>Truhlíka</w:t>
            </w:r>
            <w:proofErr w:type="spellEnd"/>
            <w:r w:rsidR="00CC384D">
              <w:rPr>
                <w:rFonts w:ascii="Arial" w:hAnsi="Arial" w:cs="Arial"/>
                <w:b/>
                <w:sz w:val="24"/>
                <w:szCs w:val="24"/>
              </w:rPr>
              <w:t>, PhD na kongres COSPAR v Istanbulu – místopředseda COSPAR WG IRI, tajemník NK COSPAR, bude pomáhat při prosazení naší přihlášky na pořádání COSPAR</w:t>
            </w:r>
            <w:bookmarkStart w:id="0" w:name="_GoBack"/>
            <w:bookmarkEnd w:id="0"/>
            <w:r w:rsidR="00CC384D">
              <w:rPr>
                <w:rFonts w:ascii="Arial" w:hAnsi="Arial" w:cs="Arial"/>
                <w:b/>
                <w:sz w:val="24"/>
                <w:szCs w:val="24"/>
              </w:rPr>
              <w:t xml:space="preserve"> 2020 v Praze</w:t>
            </w:r>
          </w:p>
        </w:tc>
      </w:tr>
    </w:tbl>
    <w:p w:rsidR="00F10FB3" w:rsidRDefault="00F10FB3" w:rsidP="006B30F4">
      <w:pPr>
        <w:jc w:val="center"/>
        <w:rPr>
          <w:rFonts w:ascii="Arial" w:hAnsi="Arial" w:cs="Arial"/>
          <w:b/>
          <w:sz w:val="24"/>
          <w:szCs w:val="24"/>
        </w:rPr>
      </w:pPr>
    </w:p>
    <w:p w:rsidR="00D544B8" w:rsidRDefault="005927BF" w:rsidP="006B30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Složení</w:t>
      </w:r>
      <w:r w:rsidR="00D544B8">
        <w:rPr>
          <w:rFonts w:ascii="Arial" w:hAnsi="Arial" w:cs="Arial"/>
          <w:b/>
          <w:sz w:val="24"/>
          <w:szCs w:val="24"/>
        </w:rPr>
        <w:t xml:space="preserve"> komitétu k 1. 1. 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3"/>
        <w:gridCol w:w="1870"/>
        <w:gridCol w:w="2091"/>
        <w:gridCol w:w="1662"/>
        <w:gridCol w:w="3037"/>
        <w:gridCol w:w="25"/>
      </w:tblGrid>
      <w:tr w:rsidR="008F56E9" w:rsidTr="00BF1F18">
        <w:trPr>
          <w:gridAfter w:val="1"/>
          <w:wAfter w:w="25" w:type="dxa"/>
          <w:cantSplit/>
        </w:trPr>
        <w:tc>
          <w:tcPr>
            <w:tcW w:w="603" w:type="dxa"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56E9">
              <w:rPr>
                <w:rFonts w:ascii="Arial" w:hAnsi="Arial" w:cs="Arial"/>
                <w:b/>
                <w:i/>
                <w:sz w:val="24"/>
                <w:szCs w:val="24"/>
              </w:rPr>
              <w:t>Předsednictvo</w:t>
            </w:r>
          </w:p>
        </w:tc>
        <w:tc>
          <w:tcPr>
            <w:tcW w:w="2091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Jméno a příjmení </w:t>
            </w:r>
            <w:r>
              <w:rPr>
                <w:rFonts w:ascii="Arial" w:hAnsi="Arial" w:cs="Arial"/>
                <w:sz w:val="24"/>
                <w:szCs w:val="24"/>
              </w:rPr>
              <w:t>(včetně titulů)</w:t>
            </w:r>
          </w:p>
        </w:tc>
        <w:tc>
          <w:tcPr>
            <w:tcW w:w="1662" w:type="dxa"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Pracoviště</w:t>
            </w:r>
          </w:p>
        </w:tc>
        <w:tc>
          <w:tcPr>
            <w:tcW w:w="3037" w:type="dxa"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8F56E9" w:rsidRPr="00BF1F18" w:rsidTr="00BF1F18">
        <w:trPr>
          <w:gridAfter w:val="1"/>
          <w:wAfter w:w="25" w:type="dxa"/>
          <w:cantSplit/>
        </w:trPr>
        <w:tc>
          <w:tcPr>
            <w:tcW w:w="603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6E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6E9">
              <w:rPr>
                <w:rFonts w:ascii="Arial" w:hAnsi="Arial" w:cs="Arial"/>
                <w:sz w:val="24"/>
                <w:szCs w:val="24"/>
              </w:rPr>
              <w:t>Předseda</w:t>
            </w:r>
          </w:p>
        </w:tc>
        <w:tc>
          <w:tcPr>
            <w:tcW w:w="2091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 xml:space="preserve">RNDr. Jan Laštovička, </w:t>
            </w:r>
            <w:proofErr w:type="spellStart"/>
            <w:r w:rsidRPr="00BF1F18">
              <w:rPr>
                <w:rFonts w:ascii="Arial" w:hAnsi="Arial" w:cs="Arial"/>
                <w:sz w:val="24"/>
                <w:szCs w:val="24"/>
              </w:rPr>
              <w:t>DrSc</w:t>
            </w:r>
            <w:proofErr w:type="spellEnd"/>
          </w:p>
        </w:tc>
        <w:tc>
          <w:tcPr>
            <w:tcW w:w="1662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ÚFA AV ČR</w:t>
            </w:r>
          </w:p>
        </w:tc>
        <w:tc>
          <w:tcPr>
            <w:tcW w:w="3037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jla@ufa.cas.cz</w:t>
            </w:r>
          </w:p>
        </w:tc>
      </w:tr>
      <w:tr w:rsidR="008F56E9" w:rsidRPr="00BF1F18" w:rsidTr="00BF1F18">
        <w:trPr>
          <w:gridAfter w:val="1"/>
          <w:wAfter w:w="25" w:type="dxa"/>
          <w:cantSplit/>
        </w:trPr>
        <w:tc>
          <w:tcPr>
            <w:tcW w:w="603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6E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6E9">
              <w:rPr>
                <w:rFonts w:ascii="Arial" w:hAnsi="Arial" w:cs="Arial"/>
                <w:sz w:val="24"/>
                <w:szCs w:val="24"/>
              </w:rPr>
              <w:t>Místopředseda</w:t>
            </w:r>
          </w:p>
        </w:tc>
        <w:tc>
          <w:tcPr>
            <w:tcW w:w="2091" w:type="dxa"/>
          </w:tcPr>
          <w:p w:rsidR="008F56E9" w:rsidRPr="00BF1F18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8F56E9" w:rsidRPr="00BF1F18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8F56E9" w:rsidRPr="00BF1F18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6E9" w:rsidRPr="00BF1F18" w:rsidTr="00BF1F18">
        <w:trPr>
          <w:gridAfter w:val="1"/>
          <w:wAfter w:w="25" w:type="dxa"/>
          <w:cantSplit/>
        </w:trPr>
        <w:tc>
          <w:tcPr>
            <w:tcW w:w="603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6E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6E9">
              <w:rPr>
                <w:rFonts w:ascii="Arial" w:hAnsi="Arial" w:cs="Arial"/>
                <w:sz w:val="24"/>
                <w:szCs w:val="24"/>
              </w:rPr>
              <w:t>Tajemník</w:t>
            </w:r>
          </w:p>
        </w:tc>
        <w:tc>
          <w:tcPr>
            <w:tcW w:w="2091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RNDr. Vladimír Truhlík, PhD</w:t>
            </w:r>
          </w:p>
        </w:tc>
        <w:tc>
          <w:tcPr>
            <w:tcW w:w="1662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ÚFA AV ČR</w:t>
            </w:r>
          </w:p>
        </w:tc>
        <w:tc>
          <w:tcPr>
            <w:tcW w:w="3037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vtr@ufa.cas.cz</w:t>
            </w:r>
          </w:p>
        </w:tc>
      </w:tr>
      <w:tr w:rsidR="008F56E9" w:rsidRPr="00BF1F18" w:rsidTr="00BF1F18">
        <w:trPr>
          <w:gridAfter w:val="1"/>
          <w:wAfter w:w="25" w:type="dxa"/>
          <w:cantSplit/>
        </w:trPr>
        <w:tc>
          <w:tcPr>
            <w:tcW w:w="603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6E9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870" w:type="dxa"/>
            <w:vMerge w:val="restart"/>
          </w:tcPr>
          <w:p w:rsid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6E9" w:rsidRPr="008F56E9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Členové</w:t>
            </w:r>
          </w:p>
        </w:tc>
        <w:tc>
          <w:tcPr>
            <w:tcW w:w="2091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Mgr. Aleš Bezděk, PhD</w:t>
            </w:r>
          </w:p>
        </w:tc>
        <w:tc>
          <w:tcPr>
            <w:tcW w:w="1662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ASÚ AV ČR</w:t>
            </w:r>
          </w:p>
        </w:tc>
        <w:tc>
          <w:tcPr>
            <w:tcW w:w="3037" w:type="dxa"/>
          </w:tcPr>
          <w:p w:rsidR="00BF1F18" w:rsidRPr="00BF1F18" w:rsidRDefault="00BF1F18" w:rsidP="00BF1F18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F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bezdek@asu.cas.cz</w:t>
            </w:r>
          </w:p>
          <w:p w:rsidR="008F56E9" w:rsidRPr="00BF1F18" w:rsidRDefault="008F56E9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6E9" w:rsidTr="00BF1F18">
        <w:tc>
          <w:tcPr>
            <w:tcW w:w="603" w:type="dxa"/>
          </w:tcPr>
          <w:p w:rsidR="008F56E9" w:rsidRP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6E9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70" w:type="dxa"/>
            <w:vMerge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RNDr. Petr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Heinzel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DrSc</w:t>
            </w:r>
            <w:proofErr w:type="spellEnd"/>
          </w:p>
        </w:tc>
        <w:tc>
          <w:tcPr>
            <w:tcW w:w="1662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ASÚ AV ČR</w:t>
            </w:r>
          </w:p>
        </w:tc>
        <w:tc>
          <w:tcPr>
            <w:tcW w:w="3062" w:type="dxa"/>
            <w:gridSpan w:val="2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petr.heinzel@asu.cas.cz</w:t>
            </w:r>
          </w:p>
        </w:tc>
      </w:tr>
      <w:tr w:rsidR="008F56E9" w:rsidTr="00BF1F18">
        <w:tc>
          <w:tcPr>
            <w:tcW w:w="603" w:type="dxa"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70" w:type="dxa"/>
            <w:vMerge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 xml:space="preserve">Prof. RNDr. Ondřej </w:t>
            </w:r>
            <w:proofErr w:type="spellStart"/>
            <w:r w:rsidRPr="00BF1F18">
              <w:rPr>
                <w:rFonts w:ascii="Arial" w:hAnsi="Arial" w:cs="Arial"/>
                <w:sz w:val="24"/>
                <w:szCs w:val="24"/>
              </w:rPr>
              <w:t>Santolík</w:t>
            </w:r>
            <w:proofErr w:type="spellEnd"/>
            <w:r w:rsidRPr="00BF1F18">
              <w:rPr>
                <w:rFonts w:ascii="Arial" w:hAnsi="Arial" w:cs="Arial"/>
                <w:sz w:val="24"/>
                <w:szCs w:val="24"/>
              </w:rPr>
              <w:t>, Dr.</w:t>
            </w:r>
          </w:p>
        </w:tc>
        <w:tc>
          <w:tcPr>
            <w:tcW w:w="1662" w:type="dxa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ÚFA AV ČR</w:t>
            </w:r>
          </w:p>
        </w:tc>
        <w:tc>
          <w:tcPr>
            <w:tcW w:w="3062" w:type="dxa"/>
            <w:gridSpan w:val="2"/>
          </w:tcPr>
          <w:p w:rsidR="008F56E9" w:rsidRPr="00BF1F18" w:rsidRDefault="0060753A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os@ufa.cas.cz</w:t>
            </w:r>
          </w:p>
        </w:tc>
      </w:tr>
      <w:tr w:rsidR="008F56E9" w:rsidTr="00BF1F18">
        <w:tc>
          <w:tcPr>
            <w:tcW w:w="603" w:type="dxa"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870" w:type="dxa"/>
            <w:vMerge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Čestmír Bárta,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CSc</w:t>
            </w:r>
            <w:proofErr w:type="spellEnd"/>
          </w:p>
        </w:tc>
        <w:tc>
          <w:tcPr>
            <w:tcW w:w="1662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BBT</w:t>
            </w:r>
          </w:p>
        </w:tc>
        <w:tc>
          <w:tcPr>
            <w:tcW w:w="3062" w:type="dxa"/>
            <w:gridSpan w:val="2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bartabbt@atlas.cz</w:t>
            </w:r>
          </w:p>
        </w:tc>
      </w:tr>
      <w:tr w:rsidR="008F56E9" w:rsidTr="00BF1F18">
        <w:tc>
          <w:tcPr>
            <w:tcW w:w="603" w:type="dxa"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870" w:type="dxa"/>
            <w:vMerge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Doc. RNDr. Lubomír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Přech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</w:t>
            </w:r>
          </w:p>
        </w:tc>
        <w:tc>
          <w:tcPr>
            <w:tcW w:w="1662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MFF UK</w:t>
            </w:r>
          </w:p>
        </w:tc>
        <w:tc>
          <w:tcPr>
            <w:tcW w:w="3062" w:type="dxa"/>
            <w:gridSpan w:val="2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lubomir.prech@mff.cuni.cz</w:t>
            </w:r>
          </w:p>
        </w:tc>
      </w:tr>
      <w:tr w:rsidR="008F56E9" w:rsidTr="00BF1F18">
        <w:tc>
          <w:tcPr>
            <w:tcW w:w="603" w:type="dxa"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870" w:type="dxa"/>
            <w:vMerge/>
          </w:tcPr>
          <w:p w:rsidR="008F56E9" w:rsidRDefault="008F56E9" w:rsidP="006B30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Doc. Ing. Jan Kolář,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CSc</w:t>
            </w:r>
            <w:proofErr w:type="spellEnd"/>
          </w:p>
        </w:tc>
        <w:tc>
          <w:tcPr>
            <w:tcW w:w="1662" w:type="dxa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ČKK</w:t>
            </w:r>
          </w:p>
        </w:tc>
        <w:tc>
          <w:tcPr>
            <w:tcW w:w="3062" w:type="dxa"/>
            <w:gridSpan w:val="2"/>
          </w:tcPr>
          <w:p w:rsidR="008F56E9" w:rsidRPr="00BF1F18" w:rsidRDefault="00BF1F18" w:rsidP="006B3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F18">
              <w:rPr>
                <w:rFonts w:ascii="Arial" w:hAnsi="Arial" w:cs="Arial"/>
                <w:sz w:val="24"/>
                <w:szCs w:val="24"/>
              </w:rPr>
              <w:t>jan.kolar@czechspace.cz</w:t>
            </w:r>
          </w:p>
        </w:tc>
      </w:tr>
    </w:tbl>
    <w:p w:rsidR="00CA0C92" w:rsidRPr="00CA0C92" w:rsidRDefault="00CA0C92" w:rsidP="00CA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92" w:rsidRPr="00CA0C92" w:rsidRDefault="00CA0C92" w:rsidP="00CA0C92">
      <w:pPr>
        <w:pStyle w:val="Nadpis"/>
        <w:rPr>
          <w:szCs w:val="24"/>
        </w:rPr>
      </w:pPr>
      <w:r w:rsidRPr="00CA0C92">
        <w:rPr>
          <w:bCs w:val="0"/>
          <w:szCs w:val="24"/>
        </w:rPr>
        <w:t>Zpráv</w:t>
      </w:r>
      <w:r w:rsidR="004E1479">
        <w:rPr>
          <w:bCs w:val="0"/>
          <w:szCs w:val="24"/>
        </w:rPr>
        <w:t>a o činnosti NK COSPAR v r. 2015</w:t>
      </w:r>
    </w:p>
    <w:p w:rsidR="00CA0C92" w:rsidRPr="00CA0C92" w:rsidRDefault="00CA0C92" w:rsidP="00CA0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C92" w:rsidRPr="00CA0C92" w:rsidRDefault="00CA0C92" w:rsidP="00CA0C92">
      <w:pPr>
        <w:pStyle w:val="Zkladntext"/>
        <w:jc w:val="both"/>
        <w:rPr>
          <w:szCs w:val="24"/>
        </w:rPr>
      </w:pPr>
      <w:r w:rsidRPr="00CA0C92">
        <w:rPr>
          <w:szCs w:val="24"/>
        </w:rPr>
        <w:t xml:space="preserve">     V NK COSPAR pracují zástupci ASÚ AV ČR </w:t>
      </w:r>
      <w:proofErr w:type="spellStart"/>
      <w:proofErr w:type="gramStart"/>
      <w:r w:rsidRPr="00CA0C92">
        <w:rPr>
          <w:szCs w:val="24"/>
        </w:rPr>
        <w:t>v.v.</w:t>
      </w:r>
      <w:proofErr w:type="gramEnd"/>
      <w:r w:rsidRPr="00CA0C92">
        <w:rPr>
          <w:szCs w:val="24"/>
        </w:rPr>
        <w:t>i</w:t>
      </w:r>
      <w:proofErr w:type="spellEnd"/>
      <w:r w:rsidRPr="00CA0C92">
        <w:rPr>
          <w:szCs w:val="24"/>
        </w:rPr>
        <w:t xml:space="preserve">., ÚFA AV ČR </w:t>
      </w:r>
      <w:proofErr w:type="spellStart"/>
      <w:r w:rsidRPr="00CA0C92">
        <w:rPr>
          <w:szCs w:val="24"/>
        </w:rPr>
        <w:t>v.v.i</w:t>
      </w:r>
      <w:proofErr w:type="spellEnd"/>
      <w:r w:rsidRPr="00CA0C92">
        <w:rPr>
          <w:szCs w:val="24"/>
        </w:rPr>
        <w:t>., MFF UK, BBT-</w:t>
      </w:r>
      <w:proofErr w:type="spellStart"/>
      <w:r w:rsidRPr="00CA0C92">
        <w:rPr>
          <w:szCs w:val="24"/>
        </w:rPr>
        <w:t>Materials</w:t>
      </w:r>
      <w:proofErr w:type="spellEnd"/>
      <w:r w:rsidRPr="00CA0C92">
        <w:rPr>
          <w:szCs w:val="24"/>
        </w:rPr>
        <w:t xml:space="preserve"> </w:t>
      </w:r>
      <w:proofErr w:type="spellStart"/>
      <w:r w:rsidRPr="00CA0C92">
        <w:rPr>
          <w:szCs w:val="24"/>
        </w:rPr>
        <w:t>Processing</w:t>
      </w:r>
      <w:proofErr w:type="spellEnd"/>
      <w:r w:rsidRPr="00CA0C92">
        <w:rPr>
          <w:szCs w:val="24"/>
        </w:rPr>
        <w:t xml:space="preserve">, </w:t>
      </w:r>
      <w:proofErr w:type="spellStart"/>
      <w:r w:rsidRPr="00CA0C92">
        <w:rPr>
          <w:szCs w:val="24"/>
        </w:rPr>
        <w:t>Crystal</w:t>
      </w:r>
      <w:proofErr w:type="spellEnd"/>
      <w:r w:rsidRPr="00CA0C92">
        <w:rPr>
          <w:szCs w:val="24"/>
        </w:rPr>
        <w:t xml:space="preserve"> Science &amp; Technology Institute a České kosmické kanceláře (ČKK). Dne </w:t>
      </w:r>
      <w:proofErr w:type="gramStart"/>
      <w:r w:rsidR="004E1479">
        <w:rPr>
          <w:szCs w:val="24"/>
        </w:rPr>
        <w:t>7.1</w:t>
      </w:r>
      <w:r w:rsidRPr="00CA0C92">
        <w:rPr>
          <w:szCs w:val="24"/>
        </w:rPr>
        <w:t>.201</w:t>
      </w:r>
      <w:r w:rsidR="004E1479">
        <w:rPr>
          <w:szCs w:val="24"/>
        </w:rPr>
        <w:t>6</w:t>
      </w:r>
      <w:proofErr w:type="gramEnd"/>
      <w:r w:rsidRPr="00CA0C92">
        <w:rPr>
          <w:szCs w:val="24"/>
        </w:rPr>
        <w:t xml:space="preserve"> proběhlo zasedání NK COSPAR</w:t>
      </w:r>
      <w:r w:rsidR="004E1479">
        <w:rPr>
          <w:szCs w:val="24"/>
        </w:rPr>
        <w:t xml:space="preserve"> za r. 2015</w:t>
      </w:r>
      <w:r w:rsidRPr="00CA0C92">
        <w:rPr>
          <w:szCs w:val="24"/>
        </w:rPr>
        <w:t xml:space="preserve">. </w:t>
      </w:r>
    </w:p>
    <w:p w:rsidR="00CA0C92" w:rsidRPr="00CA0C92" w:rsidRDefault="00CA0C92" w:rsidP="00CA0C92">
      <w:pPr>
        <w:pStyle w:val="Zkladntext"/>
        <w:jc w:val="both"/>
        <w:rPr>
          <w:szCs w:val="24"/>
        </w:rPr>
      </w:pPr>
      <w:r w:rsidRPr="00CA0C92">
        <w:rPr>
          <w:szCs w:val="24"/>
        </w:rPr>
        <w:t xml:space="preserve">Webová stránka NK: </w:t>
      </w:r>
      <w:hyperlink r:id="rId8" w:history="1">
        <w:r w:rsidRPr="00CA0C92">
          <w:rPr>
            <w:rStyle w:val="Hypertextovodkaz"/>
            <w:color w:val="auto"/>
            <w:szCs w:val="24"/>
          </w:rPr>
          <w:t>http://www.ufa.cas.cz/odkazy/cospar.html</w:t>
        </w:r>
      </w:hyperlink>
    </w:p>
    <w:p w:rsidR="00876A28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92">
        <w:rPr>
          <w:rFonts w:ascii="Times New Roman" w:hAnsi="Times New Roman" w:cs="Times New Roman"/>
          <w:sz w:val="24"/>
          <w:szCs w:val="24"/>
        </w:rPr>
        <w:t xml:space="preserve">     O. </w:t>
      </w:r>
      <w:proofErr w:type="spellStart"/>
      <w:r w:rsidRPr="00CA0C92">
        <w:rPr>
          <w:rFonts w:ascii="Times New Roman" w:hAnsi="Times New Roman" w:cs="Times New Roman"/>
          <w:sz w:val="24"/>
          <w:szCs w:val="24"/>
        </w:rPr>
        <w:t>Santolík</w:t>
      </w:r>
      <w:proofErr w:type="spellEnd"/>
      <w:r w:rsidRPr="00CA0C92">
        <w:rPr>
          <w:rFonts w:ascii="Times New Roman" w:hAnsi="Times New Roman" w:cs="Times New Roman"/>
          <w:sz w:val="24"/>
          <w:szCs w:val="24"/>
        </w:rPr>
        <w:t xml:space="preserve"> je místopředsedou a P. </w:t>
      </w:r>
      <w:proofErr w:type="spellStart"/>
      <w:r w:rsidRPr="00CA0C92">
        <w:rPr>
          <w:rFonts w:ascii="Times New Roman" w:hAnsi="Times New Roman" w:cs="Times New Roman"/>
          <w:sz w:val="24"/>
          <w:szCs w:val="24"/>
        </w:rPr>
        <w:t>Heinzel</w:t>
      </w:r>
      <w:proofErr w:type="spellEnd"/>
      <w:r w:rsidRPr="00CA0C92">
        <w:rPr>
          <w:rFonts w:ascii="Times New Roman" w:hAnsi="Times New Roman" w:cs="Times New Roman"/>
          <w:sz w:val="24"/>
          <w:szCs w:val="24"/>
        </w:rPr>
        <w:t xml:space="preserve"> členem předsednictva Rady pro kosmický výzkum při MŠMT. </w:t>
      </w:r>
      <w:r w:rsidR="00ED47E9" w:rsidRPr="00ED47E9">
        <w:rPr>
          <w:rFonts w:ascii="Times New Roman" w:hAnsi="Times New Roman" w:cs="Times New Roman"/>
          <w:sz w:val="24"/>
          <w:szCs w:val="24"/>
        </w:rPr>
        <w:t xml:space="preserve">Tato Rada rozšířila svoji působnost také na půdě MD. </w:t>
      </w:r>
      <w:r w:rsidRPr="00CA0C92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CA0C92">
        <w:rPr>
          <w:rFonts w:ascii="Times New Roman" w:hAnsi="Times New Roman" w:cs="Times New Roman"/>
          <w:sz w:val="24"/>
          <w:szCs w:val="24"/>
        </w:rPr>
        <w:t>Heinzel</w:t>
      </w:r>
      <w:proofErr w:type="spellEnd"/>
      <w:r w:rsidRPr="00CA0C92">
        <w:rPr>
          <w:rFonts w:ascii="Times New Roman" w:hAnsi="Times New Roman" w:cs="Times New Roman"/>
          <w:sz w:val="24"/>
          <w:szCs w:val="24"/>
        </w:rPr>
        <w:t xml:space="preserve"> je místopředsedou Rady pro kosmické aktivity AVČR, O. </w:t>
      </w:r>
      <w:proofErr w:type="spellStart"/>
      <w:r w:rsidRPr="00CA0C92">
        <w:rPr>
          <w:rFonts w:ascii="Times New Roman" w:hAnsi="Times New Roman" w:cs="Times New Roman"/>
          <w:sz w:val="24"/>
          <w:szCs w:val="24"/>
        </w:rPr>
        <w:t>Santolík</w:t>
      </w:r>
      <w:proofErr w:type="spellEnd"/>
      <w:r w:rsidRPr="00CA0C92">
        <w:rPr>
          <w:rFonts w:ascii="Times New Roman" w:hAnsi="Times New Roman" w:cs="Times New Roman"/>
          <w:sz w:val="24"/>
          <w:szCs w:val="24"/>
        </w:rPr>
        <w:t xml:space="preserve"> je členem. </w:t>
      </w:r>
      <w:r w:rsidR="00ED47E9" w:rsidRPr="00ED47E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ED47E9" w:rsidRPr="00ED47E9">
        <w:rPr>
          <w:rFonts w:ascii="Times New Roman" w:hAnsi="Times New Roman" w:cs="Times New Roman"/>
          <w:sz w:val="24"/>
          <w:szCs w:val="24"/>
        </w:rPr>
        <w:t>Heinzel</w:t>
      </w:r>
      <w:proofErr w:type="spellEnd"/>
      <w:r w:rsidR="00ED47E9" w:rsidRPr="00ED47E9">
        <w:rPr>
          <w:rFonts w:ascii="Times New Roman" w:hAnsi="Times New Roman" w:cs="Times New Roman"/>
          <w:sz w:val="24"/>
          <w:szCs w:val="24"/>
        </w:rPr>
        <w:t xml:space="preserve"> je členem Českého výboru ESA-PRODEX při MŠMT a za AV ČR se účastní zasedání Koordinační rady ministra dopravy pro kosmické aktivity vlády ČR. </w:t>
      </w:r>
      <w:r w:rsidRPr="00CA0C92">
        <w:rPr>
          <w:rFonts w:ascii="Times New Roman" w:eastAsia="Calibri" w:hAnsi="Times New Roman" w:cs="Times New Roman"/>
          <w:sz w:val="24"/>
          <w:szCs w:val="24"/>
        </w:rPr>
        <w:t xml:space="preserve">NK díky členství J. Koláře dostává cestou České kosmické kanceláře (ČKK) řadu zajímavých informací, zlepšujících informovanost české COSPAR komunity o mezinárodních aktivitách spojených s kosmickým výzkumem. </w:t>
      </w:r>
      <w:r w:rsidRPr="00876A28">
        <w:rPr>
          <w:rFonts w:ascii="Times New Roman" w:hAnsi="Times New Roman" w:cs="Times New Roman"/>
          <w:sz w:val="24"/>
          <w:szCs w:val="24"/>
        </w:rPr>
        <w:t>Někteří členové NK se zúčastnili mezinárodních vědeckých akcí organizovaných</w:t>
      </w:r>
      <w:r w:rsidR="00876A28">
        <w:rPr>
          <w:rFonts w:ascii="Times New Roman" w:hAnsi="Times New Roman" w:cs="Times New Roman"/>
          <w:sz w:val="24"/>
          <w:szCs w:val="24"/>
        </w:rPr>
        <w:t>/spoluorganizovaných</w:t>
      </w:r>
      <w:r w:rsidRPr="00876A28">
        <w:rPr>
          <w:rFonts w:ascii="Times New Roman" w:hAnsi="Times New Roman" w:cs="Times New Roman"/>
          <w:sz w:val="24"/>
          <w:szCs w:val="24"/>
        </w:rPr>
        <w:t xml:space="preserve"> COSPAR.</w:t>
      </w:r>
    </w:p>
    <w:p w:rsidR="00CC384D" w:rsidRDefault="00CC384D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kongresu COSPAR v srpnu 2016 budeme obhajovat/prosazovat přihlášku na pořádání kongresu COSPAR v r. 2020 v Praze. Její příprava byla zahájena v r. 2015 (uzávěrka přihlášek je </w:t>
      </w:r>
      <w:proofErr w:type="gramStart"/>
      <w:r>
        <w:rPr>
          <w:rFonts w:ascii="Times New Roman" w:hAnsi="Times New Roman" w:cs="Times New Roman"/>
          <w:sz w:val="24"/>
          <w:szCs w:val="24"/>
        </w:rPr>
        <w:t>15.2.2016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CA0C92" w:rsidRPr="00CA0C92" w:rsidRDefault="00CA0C92" w:rsidP="00CA0C92">
      <w:pPr>
        <w:pStyle w:val="Zkladntext"/>
        <w:rPr>
          <w:szCs w:val="24"/>
        </w:rPr>
      </w:pPr>
    </w:p>
    <w:p w:rsidR="00CA0C92" w:rsidRDefault="00CA0C92" w:rsidP="00CA0C92">
      <w:pPr>
        <w:pStyle w:val="Zkladntext"/>
        <w:rPr>
          <w:szCs w:val="24"/>
        </w:rPr>
      </w:pPr>
      <w:r w:rsidRPr="00CA0C92">
        <w:rPr>
          <w:szCs w:val="24"/>
          <w:u w:val="single"/>
        </w:rPr>
        <w:t>Funkce v orgánech COSPAR a práce pro COSPAR</w:t>
      </w:r>
      <w:r w:rsidRPr="00CA0C92">
        <w:rPr>
          <w:szCs w:val="24"/>
        </w:rPr>
        <w:t>:</w:t>
      </w:r>
    </w:p>
    <w:p w:rsidR="00CA0C92" w:rsidRPr="00CA0C92" w:rsidRDefault="00CA0C92" w:rsidP="00CA0C92">
      <w:pPr>
        <w:pStyle w:val="Zkladntext"/>
        <w:rPr>
          <w:szCs w:val="24"/>
        </w:rPr>
      </w:pPr>
    </w:p>
    <w:p w:rsidR="00CA0C92" w:rsidRPr="00CA0C92" w:rsidRDefault="00CA0C92" w:rsidP="00CA0C92">
      <w:pPr>
        <w:pStyle w:val="Zkladntext"/>
        <w:jc w:val="both"/>
        <w:rPr>
          <w:szCs w:val="24"/>
        </w:rPr>
      </w:pPr>
      <w:r w:rsidRPr="00CA0C92">
        <w:rPr>
          <w:szCs w:val="24"/>
        </w:rPr>
        <w:t xml:space="preserve">     J. Laštovička je členem COSPAR </w:t>
      </w:r>
      <w:r w:rsidRPr="004E1479">
        <w:rPr>
          <w:szCs w:val="24"/>
          <w:lang w:val="en-GB"/>
        </w:rPr>
        <w:t>Council, Publication Committee of</w:t>
      </w:r>
      <w:r w:rsidRPr="00CA0C92">
        <w:rPr>
          <w:szCs w:val="24"/>
        </w:rPr>
        <w:t xml:space="preserve"> COSPAR a je </w:t>
      </w:r>
      <w:r w:rsidR="004E1479">
        <w:rPr>
          <w:szCs w:val="24"/>
        </w:rPr>
        <w:t>co-editor</w:t>
      </w:r>
      <w:r w:rsidRPr="00CA0C92">
        <w:rPr>
          <w:szCs w:val="24"/>
        </w:rPr>
        <w:t xml:space="preserve"> COSPAR časopisu </w:t>
      </w:r>
      <w:r w:rsidRPr="004E1479">
        <w:rPr>
          <w:szCs w:val="24"/>
          <w:lang w:val="en-GB"/>
        </w:rPr>
        <w:t>Advances in Space Research</w:t>
      </w:r>
      <w:r w:rsidRPr="00CA0C92">
        <w:rPr>
          <w:szCs w:val="24"/>
        </w:rPr>
        <w:t>.</w:t>
      </w:r>
    </w:p>
    <w:p w:rsidR="00CA0C92" w:rsidRPr="00CA0C92" w:rsidRDefault="00CA0C92" w:rsidP="00CA0C92">
      <w:pPr>
        <w:pStyle w:val="Zkladntext"/>
        <w:jc w:val="both"/>
        <w:rPr>
          <w:szCs w:val="24"/>
        </w:rPr>
      </w:pPr>
      <w:r w:rsidRPr="00CA0C92">
        <w:rPr>
          <w:szCs w:val="24"/>
        </w:rPr>
        <w:t xml:space="preserve">     V.</w:t>
      </w:r>
      <w:r w:rsidR="00D84DC7">
        <w:rPr>
          <w:szCs w:val="24"/>
        </w:rPr>
        <w:t xml:space="preserve"> Truhlík je místopředsedou pracovní</w:t>
      </w:r>
      <w:r w:rsidRPr="00CA0C92">
        <w:rPr>
          <w:szCs w:val="24"/>
        </w:rPr>
        <w:t xml:space="preserve"> skupiny COSPAR/URSI „International Reference </w:t>
      </w:r>
      <w:proofErr w:type="spellStart"/>
      <w:r w:rsidRPr="00CA0C92">
        <w:rPr>
          <w:szCs w:val="24"/>
        </w:rPr>
        <w:t>Ionosphere</w:t>
      </w:r>
      <w:proofErr w:type="spellEnd"/>
      <w:r w:rsidRPr="00CA0C92">
        <w:rPr>
          <w:szCs w:val="24"/>
        </w:rPr>
        <w:t>“ (IRI).</w:t>
      </w:r>
    </w:p>
    <w:p w:rsidR="00CA0C92" w:rsidRPr="00CA0C92" w:rsidRDefault="00ED47E9" w:rsidP="00CA0C92">
      <w:pPr>
        <w:pStyle w:val="Zkladntext"/>
        <w:jc w:val="both"/>
        <w:rPr>
          <w:szCs w:val="24"/>
          <w:shd w:val="clear" w:color="auto" w:fill="FFFF00"/>
        </w:rPr>
      </w:pPr>
      <w:r>
        <w:rPr>
          <w:szCs w:val="24"/>
        </w:rPr>
        <w:t xml:space="preserve">     </w:t>
      </w:r>
      <w:r w:rsidR="004E1479">
        <w:rPr>
          <w:szCs w:val="24"/>
        </w:rPr>
        <w:t xml:space="preserve">Z. Němeček a J. Pavlů jsou </w:t>
      </w:r>
      <w:proofErr w:type="spellStart"/>
      <w:r w:rsidR="004E1479">
        <w:rPr>
          <w:szCs w:val="24"/>
        </w:rPr>
        <w:t>konvenoři</w:t>
      </w:r>
      <w:proofErr w:type="spellEnd"/>
      <w:r w:rsidR="004E1479">
        <w:rPr>
          <w:szCs w:val="24"/>
        </w:rPr>
        <w:t xml:space="preserve"> jednoho ze sympozií </w:t>
      </w:r>
      <w:r>
        <w:rPr>
          <w:szCs w:val="24"/>
        </w:rPr>
        <w:t xml:space="preserve">a P. </w:t>
      </w:r>
      <w:proofErr w:type="spellStart"/>
      <w:r>
        <w:rPr>
          <w:szCs w:val="24"/>
        </w:rPr>
        <w:t>Heinzel</w:t>
      </w:r>
      <w:proofErr w:type="spellEnd"/>
      <w:r>
        <w:rPr>
          <w:szCs w:val="24"/>
        </w:rPr>
        <w:t xml:space="preserve"> a J. Laštovička spoluorganizátoři dvou dalších </w:t>
      </w:r>
      <w:r w:rsidR="004E1479">
        <w:rPr>
          <w:szCs w:val="24"/>
        </w:rPr>
        <w:t>na kongresu COSPAR 2016 v Istanbulu.</w:t>
      </w:r>
    </w:p>
    <w:p w:rsidR="00CA0C92" w:rsidRPr="00CA0C92" w:rsidRDefault="00CA0C92" w:rsidP="00CA0C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CA0C92" w:rsidRPr="00CA0C92" w:rsidRDefault="00CA0C92" w:rsidP="00CA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92">
        <w:rPr>
          <w:rFonts w:ascii="Times New Roman" w:hAnsi="Times New Roman" w:cs="Times New Roman"/>
          <w:sz w:val="24"/>
          <w:szCs w:val="24"/>
          <w:u w:val="single"/>
        </w:rPr>
        <w:t>Vybrané odborné výsledky</w:t>
      </w:r>
      <w:r w:rsidRPr="00CA0C92">
        <w:rPr>
          <w:rFonts w:ascii="Times New Roman" w:hAnsi="Times New Roman" w:cs="Times New Roman"/>
          <w:sz w:val="24"/>
          <w:szCs w:val="24"/>
        </w:rPr>
        <w:t>:</w:t>
      </w:r>
    </w:p>
    <w:p w:rsidR="00CA0C92" w:rsidRPr="00CA0C92" w:rsidRDefault="00CA0C92" w:rsidP="00CA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0C92" w:rsidRPr="00ED47E9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92">
        <w:rPr>
          <w:rFonts w:ascii="Times New Roman" w:hAnsi="Times New Roman" w:cs="Times New Roman"/>
          <w:sz w:val="24"/>
          <w:szCs w:val="24"/>
        </w:rPr>
        <w:t xml:space="preserve">     </w:t>
      </w:r>
      <w:r w:rsidRPr="00032084">
        <w:rPr>
          <w:rFonts w:ascii="Times New Roman" w:hAnsi="Times New Roman" w:cs="Times New Roman"/>
          <w:sz w:val="24"/>
          <w:szCs w:val="24"/>
        </w:rPr>
        <w:t xml:space="preserve">Členové NK COSPAR a jejich spolupracovníci se podílejí na kosmických projektech připravovaných nebo vypuštěných: Solar </w:t>
      </w:r>
      <w:proofErr w:type="spellStart"/>
      <w:r w:rsidRPr="00032084">
        <w:rPr>
          <w:rFonts w:ascii="Times New Roman" w:hAnsi="Times New Roman" w:cs="Times New Roman"/>
          <w:sz w:val="24"/>
          <w:szCs w:val="24"/>
        </w:rPr>
        <w:t>Orbiter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 (ESA), </w:t>
      </w:r>
      <w:proofErr w:type="spellStart"/>
      <w:r w:rsidRPr="00032084">
        <w:rPr>
          <w:rFonts w:ascii="Times New Roman" w:hAnsi="Times New Roman" w:cs="Times New Roman"/>
          <w:sz w:val="24"/>
          <w:szCs w:val="24"/>
        </w:rPr>
        <w:t>Taranis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 (CNES), </w:t>
      </w:r>
      <w:r w:rsidR="005D4F4A" w:rsidRPr="005D4F4A">
        <w:rPr>
          <w:rFonts w:ascii="Times New Roman" w:hAnsi="Times New Roman" w:cs="Times New Roman"/>
          <w:sz w:val="24"/>
          <w:szCs w:val="24"/>
        </w:rPr>
        <w:t>Luna-</w:t>
      </w:r>
      <w:proofErr w:type="spellStart"/>
      <w:r w:rsidR="005D4F4A" w:rsidRPr="005D4F4A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="005D4F4A" w:rsidRPr="005D4F4A">
        <w:rPr>
          <w:rFonts w:ascii="Times New Roman" w:hAnsi="Times New Roman" w:cs="Times New Roman"/>
          <w:sz w:val="24"/>
          <w:szCs w:val="24"/>
        </w:rPr>
        <w:t>-Orbital</w:t>
      </w:r>
      <w:r w:rsidRPr="005D4F4A">
        <w:rPr>
          <w:rFonts w:ascii="Times New Roman" w:hAnsi="Times New Roman" w:cs="Times New Roman"/>
          <w:sz w:val="24"/>
          <w:szCs w:val="24"/>
        </w:rPr>
        <w:t xml:space="preserve"> (RSA), </w:t>
      </w:r>
      <w:proofErr w:type="spellStart"/>
      <w:r w:rsidRPr="005D4F4A">
        <w:rPr>
          <w:rFonts w:ascii="Times New Roman" w:hAnsi="Times New Roman" w:cs="Times New Roman"/>
          <w:sz w:val="24"/>
          <w:szCs w:val="24"/>
        </w:rPr>
        <w:t>St</w:t>
      </w:r>
      <w:r w:rsidRPr="00032084">
        <w:rPr>
          <w:rFonts w:ascii="Times New Roman" w:hAnsi="Times New Roman" w:cs="Times New Roman"/>
          <w:sz w:val="24"/>
          <w:szCs w:val="24"/>
        </w:rPr>
        <w:t>rannik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 (RSA), </w:t>
      </w:r>
      <w:r w:rsidRPr="005D4F4A">
        <w:rPr>
          <w:rFonts w:ascii="Times New Roman" w:hAnsi="Times New Roman" w:cs="Times New Roman"/>
          <w:sz w:val="24"/>
          <w:szCs w:val="24"/>
        </w:rPr>
        <w:t xml:space="preserve">BEPI </w:t>
      </w:r>
      <w:proofErr w:type="spellStart"/>
      <w:r w:rsidRPr="005D4F4A">
        <w:rPr>
          <w:rFonts w:ascii="Times New Roman" w:hAnsi="Times New Roman" w:cs="Times New Roman"/>
          <w:sz w:val="24"/>
          <w:szCs w:val="24"/>
        </w:rPr>
        <w:t>Colombo</w:t>
      </w:r>
      <w:proofErr w:type="spellEnd"/>
      <w:r w:rsidRPr="005D4F4A">
        <w:rPr>
          <w:rFonts w:ascii="Times New Roman" w:hAnsi="Times New Roman" w:cs="Times New Roman"/>
          <w:sz w:val="24"/>
          <w:szCs w:val="24"/>
        </w:rPr>
        <w:t xml:space="preserve"> (ESA), </w:t>
      </w:r>
      <w:proofErr w:type="spellStart"/>
      <w:r w:rsidR="005D4F4A" w:rsidRPr="005D4F4A">
        <w:rPr>
          <w:rFonts w:ascii="Times New Roman" w:hAnsi="Times New Roman" w:cs="Times New Roman"/>
          <w:sz w:val="24"/>
          <w:szCs w:val="24"/>
        </w:rPr>
        <w:t>Interheliozond</w:t>
      </w:r>
      <w:proofErr w:type="spellEnd"/>
      <w:r w:rsidRPr="005D4F4A">
        <w:rPr>
          <w:rFonts w:ascii="Times New Roman" w:hAnsi="Times New Roman" w:cs="Times New Roman"/>
          <w:sz w:val="24"/>
          <w:szCs w:val="24"/>
        </w:rPr>
        <w:t xml:space="preserve"> (RSA), Resonance (RSA), </w:t>
      </w:r>
      <w:r w:rsidRPr="00032084">
        <w:rPr>
          <w:rFonts w:ascii="Times New Roman" w:hAnsi="Times New Roman" w:cs="Times New Roman"/>
          <w:sz w:val="24"/>
          <w:szCs w:val="24"/>
        </w:rPr>
        <w:t>JUICE (ESA), Proba-3 (ESA),</w:t>
      </w:r>
      <w:r w:rsidR="005D4F4A">
        <w:rPr>
          <w:rFonts w:ascii="Times New Roman" w:hAnsi="Times New Roman" w:cs="Times New Roman"/>
          <w:sz w:val="24"/>
          <w:szCs w:val="24"/>
        </w:rPr>
        <w:t xml:space="preserve"> SPEKTR-R (RSA),</w:t>
      </w:r>
      <w:r w:rsidRPr="00032084">
        <w:rPr>
          <w:rFonts w:ascii="Times New Roman" w:hAnsi="Times New Roman" w:cs="Times New Roman"/>
          <w:sz w:val="24"/>
          <w:szCs w:val="24"/>
        </w:rPr>
        <w:t xml:space="preserve"> </w:t>
      </w:r>
      <w:r w:rsidRPr="00ED47E9">
        <w:rPr>
          <w:rFonts w:ascii="Times New Roman" w:hAnsi="Times New Roman" w:cs="Times New Roman"/>
          <w:sz w:val="24"/>
          <w:szCs w:val="24"/>
        </w:rPr>
        <w:t xml:space="preserve">CLASP (JAXA), LOFT a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Athena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(ESA).</w:t>
      </w:r>
    </w:p>
    <w:p w:rsidR="00CA0C92" w:rsidRPr="004E1479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</w:pPr>
      <w:r w:rsidRPr="00032084">
        <w:rPr>
          <w:rFonts w:ascii="Times New Roman" w:hAnsi="Times New Roman" w:cs="Times New Roman"/>
          <w:sz w:val="24"/>
          <w:szCs w:val="24"/>
        </w:rPr>
        <w:t xml:space="preserve">     Telemetrická stanice Panská Ves zajišťovala příjem dat z družic (pro mezinárodní datovou síť) Cluster (ESA), </w:t>
      </w:r>
      <w:proofErr w:type="spellStart"/>
      <w:r w:rsidRPr="00032084">
        <w:rPr>
          <w:rFonts w:ascii="Times New Roman" w:hAnsi="Times New Roman" w:cs="Times New Roman"/>
          <w:sz w:val="24"/>
          <w:szCs w:val="24"/>
        </w:rPr>
        <w:t>RBSPa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2084">
        <w:rPr>
          <w:rFonts w:ascii="Times New Roman" w:hAnsi="Times New Roman" w:cs="Times New Roman"/>
          <w:sz w:val="24"/>
          <w:szCs w:val="24"/>
        </w:rPr>
        <w:t>RBSPb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 (NASA). </w:t>
      </w:r>
      <w:r w:rsidRPr="0003208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CA0C92" w:rsidRPr="002F412D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084">
        <w:rPr>
          <w:rFonts w:ascii="Times New Roman" w:hAnsi="Times New Roman" w:cs="Times New Roman"/>
          <w:sz w:val="24"/>
          <w:szCs w:val="24"/>
        </w:rPr>
        <w:t xml:space="preserve">     Členové NK COSPAR a jejich spolupracovníci zpracovávají a využívají data z již vypuštěných družic a sond Cluster (ESA), Themis (NASA), DEMETER (CNES), Double Star (ESA), WIND (NASA),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Voyager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1 a 2 (NASA), SOHO (ESA),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Interball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(RSA), </w:t>
      </w:r>
      <w:proofErr w:type="spellStart"/>
      <w:r w:rsidRPr="002F412D">
        <w:rPr>
          <w:rFonts w:ascii="Times New Roman" w:hAnsi="Times New Roman" w:cs="Times New Roman"/>
          <w:sz w:val="24"/>
          <w:szCs w:val="24"/>
        </w:rPr>
        <w:t>Spektr</w:t>
      </w:r>
      <w:proofErr w:type="spellEnd"/>
      <w:r w:rsidRPr="002F412D">
        <w:rPr>
          <w:rFonts w:ascii="Times New Roman" w:hAnsi="Times New Roman" w:cs="Times New Roman"/>
          <w:sz w:val="24"/>
          <w:szCs w:val="24"/>
        </w:rPr>
        <w:t xml:space="preserve">-R (RSA), </w:t>
      </w:r>
      <w:proofErr w:type="spellStart"/>
      <w:r w:rsidRPr="002F412D">
        <w:rPr>
          <w:rFonts w:ascii="Times New Roman" w:hAnsi="Times New Roman" w:cs="Times New Roman"/>
          <w:sz w:val="24"/>
          <w:szCs w:val="24"/>
        </w:rPr>
        <w:t>S</w:t>
      </w:r>
      <w:r w:rsidRPr="00032084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 (ESA), COSMIC (</w:t>
      </w:r>
      <w:proofErr w:type="spellStart"/>
      <w:r w:rsidRPr="00032084">
        <w:rPr>
          <w:rFonts w:ascii="Times New Roman" w:hAnsi="Times New Roman" w:cs="Times New Roman"/>
          <w:sz w:val="24"/>
          <w:szCs w:val="24"/>
        </w:rPr>
        <w:t>Tajwan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/NASA), Proba-2 (ESA), </w:t>
      </w:r>
      <w:proofErr w:type="spellStart"/>
      <w:r w:rsidRPr="002F412D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2F412D">
        <w:rPr>
          <w:rFonts w:ascii="Times New Roman" w:hAnsi="Times New Roman" w:cs="Times New Roman"/>
          <w:sz w:val="24"/>
          <w:szCs w:val="24"/>
        </w:rPr>
        <w:t xml:space="preserve">, ISIS, </w:t>
      </w:r>
      <w:r w:rsidRPr="00032084">
        <w:rPr>
          <w:rFonts w:ascii="Times New Roman" w:hAnsi="Times New Roman" w:cs="Times New Roman"/>
          <w:sz w:val="24"/>
          <w:szCs w:val="24"/>
        </w:rPr>
        <w:t xml:space="preserve">van Allen </w:t>
      </w:r>
      <w:proofErr w:type="spellStart"/>
      <w:r w:rsidRPr="00032084">
        <w:rPr>
          <w:rFonts w:ascii="Times New Roman" w:hAnsi="Times New Roman" w:cs="Times New Roman"/>
          <w:sz w:val="24"/>
          <w:szCs w:val="24"/>
        </w:rPr>
        <w:t>probes</w:t>
      </w:r>
      <w:proofErr w:type="spellEnd"/>
      <w:r w:rsidRPr="00032084">
        <w:rPr>
          <w:rFonts w:ascii="Times New Roman" w:hAnsi="Times New Roman" w:cs="Times New Roman"/>
          <w:sz w:val="24"/>
          <w:szCs w:val="24"/>
        </w:rPr>
        <w:t xml:space="preserve"> (NASA), </w:t>
      </w:r>
      <w:proofErr w:type="spellStart"/>
      <w:r w:rsidRPr="00C44E67">
        <w:rPr>
          <w:rFonts w:ascii="Times New Roman" w:hAnsi="Times New Roman" w:cs="Times New Roman"/>
          <w:sz w:val="24"/>
          <w:szCs w:val="24"/>
        </w:rPr>
        <w:t>Polar</w:t>
      </w:r>
      <w:proofErr w:type="spellEnd"/>
      <w:r w:rsidRPr="00C44E67">
        <w:rPr>
          <w:rFonts w:ascii="Times New Roman" w:hAnsi="Times New Roman" w:cs="Times New Roman"/>
          <w:sz w:val="24"/>
          <w:szCs w:val="24"/>
        </w:rPr>
        <w:t xml:space="preserve"> (NASA), Stereo (NASA), </w:t>
      </w:r>
      <w:proofErr w:type="spellStart"/>
      <w:r w:rsidRPr="00C44E67">
        <w:rPr>
          <w:rFonts w:ascii="Times New Roman" w:hAnsi="Times New Roman" w:cs="Times New Roman"/>
          <w:sz w:val="24"/>
          <w:szCs w:val="24"/>
        </w:rPr>
        <w:t>Cassini</w:t>
      </w:r>
      <w:proofErr w:type="spellEnd"/>
      <w:r w:rsidRPr="00C44E67">
        <w:rPr>
          <w:rFonts w:ascii="Times New Roman" w:hAnsi="Times New Roman" w:cs="Times New Roman"/>
          <w:sz w:val="24"/>
          <w:szCs w:val="24"/>
        </w:rPr>
        <w:t xml:space="preserve"> (ESA-NASA), </w:t>
      </w:r>
      <w:r w:rsidRPr="004D5F36">
        <w:rPr>
          <w:rFonts w:ascii="Times New Roman" w:hAnsi="Times New Roman" w:cs="Times New Roman"/>
          <w:sz w:val="24"/>
          <w:szCs w:val="24"/>
        </w:rPr>
        <w:t>CHAMP (ESA), GOCE,</w:t>
      </w:r>
      <w:r w:rsidR="004D5F36">
        <w:rPr>
          <w:rFonts w:ascii="Times New Roman" w:hAnsi="Times New Roman" w:cs="Times New Roman"/>
          <w:sz w:val="24"/>
          <w:szCs w:val="24"/>
        </w:rPr>
        <w:t xml:space="preserve"> GRACE</w:t>
      </w:r>
      <w:r w:rsidR="004D5F36" w:rsidRPr="00ED47E9">
        <w:rPr>
          <w:rFonts w:ascii="Times New Roman" w:hAnsi="Times New Roman" w:cs="Times New Roman"/>
          <w:sz w:val="24"/>
          <w:szCs w:val="24"/>
        </w:rPr>
        <w:t>,</w:t>
      </w:r>
      <w:r w:rsidRPr="00ED47E9">
        <w:rPr>
          <w:rFonts w:ascii="Times New Roman" w:hAnsi="Times New Roman" w:cs="Times New Roman"/>
          <w:sz w:val="24"/>
          <w:szCs w:val="24"/>
        </w:rPr>
        <w:t xml:space="preserve"> XMM,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Gaia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Integral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, RHESSI (NASA), SDO (NASA), </w:t>
      </w:r>
      <w:r w:rsidRPr="002F412D">
        <w:rPr>
          <w:rFonts w:ascii="Times New Roman" w:hAnsi="Times New Roman" w:cs="Times New Roman"/>
          <w:sz w:val="24"/>
          <w:szCs w:val="24"/>
        </w:rPr>
        <w:t>AE-C, AE-E,</w:t>
      </w:r>
      <w:r w:rsidR="002F41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F412D" w:rsidRPr="00ED47E9">
        <w:rPr>
          <w:rFonts w:ascii="Times New Roman" w:hAnsi="Times New Roman" w:cs="Times New Roman"/>
          <w:sz w:val="24"/>
          <w:szCs w:val="24"/>
        </w:rPr>
        <w:t>Hinode</w:t>
      </w:r>
      <w:proofErr w:type="spellEnd"/>
      <w:r w:rsidR="002F412D" w:rsidRPr="00ED47E9">
        <w:rPr>
          <w:rFonts w:ascii="Times New Roman" w:hAnsi="Times New Roman" w:cs="Times New Roman"/>
          <w:sz w:val="24"/>
          <w:szCs w:val="24"/>
        </w:rPr>
        <w:t xml:space="preserve"> (JAXA), IRIS (NASA), </w:t>
      </w:r>
      <w:r w:rsidR="002F412D" w:rsidRPr="002F412D">
        <w:rPr>
          <w:rFonts w:ascii="Times New Roman" w:hAnsi="Times New Roman" w:cs="Times New Roman"/>
          <w:sz w:val="24"/>
          <w:szCs w:val="24"/>
        </w:rPr>
        <w:t>C/NOFS a FORMOSAT-3/COSMIC.</w:t>
      </w:r>
    </w:p>
    <w:p w:rsidR="00CA0C92" w:rsidRPr="004E1479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</w:pPr>
    </w:p>
    <w:p w:rsidR="005650D3" w:rsidRPr="005650D3" w:rsidRDefault="005650D3" w:rsidP="00565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0D3">
        <w:rPr>
          <w:rFonts w:ascii="Times New Roman" w:hAnsi="Times New Roman" w:cs="Times New Roman"/>
          <w:sz w:val="24"/>
          <w:szCs w:val="24"/>
        </w:rPr>
        <w:t xml:space="preserve">V roce 2015 byl úspěšně ukončen výzkum a vývoj pokročilých optických prvků (polarizátory, </w:t>
      </w:r>
      <w:proofErr w:type="spellStart"/>
      <w:r w:rsidRPr="005650D3">
        <w:rPr>
          <w:rFonts w:ascii="Times New Roman" w:hAnsi="Times New Roman" w:cs="Times New Roman"/>
          <w:sz w:val="24"/>
          <w:szCs w:val="24"/>
        </w:rPr>
        <w:t>scramblery</w:t>
      </w:r>
      <w:proofErr w:type="spellEnd"/>
      <w:r w:rsidRPr="005650D3">
        <w:rPr>
          <w:rFonts w:ascii="Times New Roman" w:hAnsi="Times New Roman" w:cs="Times New Roman"/>
          <w:sz w:val="24"/>
          <w:szCs w:val="24"/>
        </w:rPr>
        <w:t xml:space="preserve"> aj.) pro infračervenou oblast spektra určené pro kosmické i jiné aplikace. Polarizační prvky představují možnost realizace polarizátorů s vysokým stupněm polarizace nejen pro viditelnou oblast (VIS), ale zejména pro MIR oblast 3 – 5 µm a TIR </w:t>
      </w:r>
      <w:r w:rsidRPr="005650D3">
        <w:rPr>
          <w:rFonts w:ascii="Times New Roman" w:hAnsi="Times New Roman" w:cs="Times New Roman"/>
          <w:sz w:val="24"/>
          <w:szCs w:val="24"/>
        </w:rPr>
        <w:lastRenderedPageBreak/>
        <w:t xml:space="preserve">oblast 8 – 12 µm. Zvláště pro MIR a TIR oblasti jsou jinak k dispozici většinou jen mřížkové polarizátory s relativně nízkým stupněm polarizace. Vysoká hodnota dvojlomu dovoluje realizovat fázové prvky jako λ/2, λ/4 destičky a </w:t>
      </w:r>
      <w:proofErr w:type="spellStart"/>
      <w:r w:rsidRPr="005650D3">
        <w:rPr>
          <w:rFonts w:ascii="Times New Roman" w:hAnsi="Times New Roman" w:cs="Times New Roman"/>
          <w:sz w:val="24"/>
          <w:szCs w:val="24"/>
        </w:rPr>
        <w:t>scramblery</w:t>
      </w:r>
      <w:proofErr w:type="spellEnd"/>
      <w:r w:rsidRPr="005650D3">
        <w:rPr>
          <w:rFonts w:ascii="Times New Roman" w:hAnsi="Times New Roman" w:cs="Times New Roman"/>
          <w:sz w:val="24"/>
          <w:szCs w:val="24"/>
        </w:rPr>
        <w:t>. Technické aplikační oblasti lze očekávat v polarizační analýze pro dálkový průzkum povrchu Země a atmosféry, astronomii, mapování povrchů apod. Fázové prvky jsou vhodné pro laserové technologie zpracování materiálů, laserové simulace apod. (BBT)</w:t>
      </w:r>
    </w:p>
    <w:p w:rsidR="005650D3" w:rsidRPr="005650D3" w:rsidRDefault="005650D3" w:rsidP="00565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0D3">
        <w:rPr>
          <w:rFonts w:ascii="Times New Roman" w:hAnsi="Times New Roman" w:cs="Times New Roman"/>
          <w:sz w:val="24"/>
          <w:szCs w:val="24"/>
        </w:rPr>
        <w:t xml:space="preserve">Koncem roku 2015 byl rovněž zahájen projekt vývoje antireflexních vrstev pro kalomelové optické prvky pro infračervenou oblast pro kosmické aplikace. (BBT) </w:t>
      </w:r>
    </w:p>
    <w:p w:rsidR="005650D3" w:rsidRPr="005650D3" w:rsidRDefault="005650D3" w:rsidP="005650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0D3">
        <w:rPr>
          <w:rFonts w:ascii="Times New Roman" w:hAnsi="Times New Roman" w:cs="Times New Roman"/>
          <w:sz w:val="24"/>
          <w:szCs w:val="24"/>
        </w:rPr>
        <w:t>Byly dokončeny přípravné práce k zahájení projektu výzkumu, vývoji a realizaci multispektrálních (</w:t>
      </w:r>
      <w:proofErr w:type="spellStart"/>
      <w:r w:rsidRPr="005650D3">
        <w:rPr>
          <w:rFonts w:ascii="Times New Roman" w:hAnsi="Times New Roman" w:cs="Times New Roman"/>
          <w:sz w:val="24"/>
          <w:szCs w:val="24"/>
        </w:rPr>
        <w:t>hyperspektrálních</w:t>
      </w:r>
      <w:proofErr w:type="spellEnd"/>
      <w:r w:rsidRPr="005650D3">
        <w:rPr>
          <w:rFonts w:ascii="Times New Roman" w:hAnsi="Times New Roman" w:cs="Times New Roman"/>
          <w:sz w:val="24"/>
          <w:szCs w:val="24"/>
        </w:rPr>
        <w:t>) analyzátorů optického záření a multispektrálních (</w:t>
      </w:r>
      <w:proofErr w:type="spellStart"/>
      <w:r w:rsidRPr="005650D3">
        <w:rPr>
          <w:rFonts w:ascii="Times New Roman" w:hAnsi="Times New Roman" w:cs="Times New Roman"/>
          <w:sz w:val="24"/>
          <w:szCs w:val="24"/>
        </w:rPr>
        <w:t>hyperspektrálních</w:t>
      </w:r>
      <w:proofErr w:type="spellEnd"/>
      <w:r w:rsidRPr="005650D3">
        <w:rPr>
          <w:rFonts w:ascii="Times New Roman" w:hAnsi="Times New Roman" w:cs="Times New Roman"/>
          <w:sz w:val="24"/>
          <w:szCs w:val="24"/>
        </w:rPr>
        <w:t xml:space="preserve">) 2D zobrazovacích systémů (spektrálně laditelné kamery) pro kosmické aplikace vybavené nově vyvíjeným </w:t>
      </w:r>
      <w:proofErr w:type="spellStart"/>
      <w:r w:rsidRPr="005650D3">
        <w:rPr>
          <w:rFonts w:ascii="Times New Roman" w:hAnsi="Times New Roman" w:cs="Times New Roman"/>
          <w:sz w:val="24"/>
          <w:szCs w:val="24"/>
        </w:rPr>
        <w:t>akusto</w:t>
      </w:r>
      <w:proofErr w:type="spellEnd"/>
      <w:r w:rsidRPr="005650D3">
        <w:rPr>
          <w:rFonts w:ascii="Times New Roman" w:hAnsi="Times New Roman" w:cs="Times New Roman"/>
          <w:sz w:val="24"/>
          <w:szCs w:val="24"/>
        </w:rPr>
        <w:t xml:space="preserve">-optickým laditelným filtrem (AOTF). Projekt bude zahájen počátkem roku 2016. Tyto systémy budou mít široké uplatnění zejména v dálkovém průzkumu Země a atmosféry (spektrální analýza chemického složení, koncentrace plynů v atmosféře), astronomie, řízení a kontrola životního prostředí, monitorování přírodních jevů a katastrof, monitorování městských oblastí apod. Byly ověřeny kalomelové AOTF pro oblast 5 mikronů a 8 až 10 mikronů. Zařízení je bez jakýchkoli pohyblivých součástí, může nahradit klasické systémy a umožní pracovat ve vysokém prostorovém a spektrálním rozlišení. </w:t>
      </w:r>
      <w:r>
        <w:rPr>
          <w:rFonts w:ascii="Times New Roman" w:hAnsi="Times New Roman" w:cs="Times New Roman"/>
          <w:sz w:val="24"/>
          <w:szCs w:val="24"/>
        </w:rPr>
        <w:t>(BBT)</w:t>
      </w:r>
    </w:p>
    <w:p w:rsidR="00CA0C92" w:rsidRPr="005650D3" w:rsidRDefault="00CA0C92" w:rsidP="0056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650D3">
        <w:rPr>
          <w:rFonts w:ascii="Times New Roman" w:hAnsi="Times New Roman" w:cs="Times New Roman"/>
          <w:sz w:val="24"/>
          <w:szCs w:val="24"/>
        </w:rPr>
        <w:t xml:space="preserve">     Dosažené výsledky umožňují účastnit se v rámci mezinárodního konsorcia řešení projektu FP7 zaměřeného na vývoj nové metody velmi včasné diagnostiky rakoviny (zejména melanomu) na bázi infračervené laserové spektroskopie. (BBT)</w:t>
      </w:r>
    </w:p>
    <w:p w:rsidR="002F412D" w:rsidRPr="002F412D" w:rsidRDefault="00A62F70" w:rsidP="00E316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dokončeny</w:t>
      </w:r>
      <w:r w:rsidR="002F412D">
        <w:rPr>
          <w:rFonts w:ascii="Times New Roman" w:hAnsi="Times New Roman" w:cs="Times New Roman"/>
          <w:sz w:val="24"/>
          <w:szCs w:val="24"/>
        </w:rPr>
        <w:t xml:space="preserve"> elektronické a mechanické</w:t>
      </w:r>
      <w:r>
        <w:rPr>
          <w:rFonts w:ascii="Times New Roman" w:hAnsi="Times New Roman" w:cs="Times New Roman"/>
          <w:sz w:val="24"/>
          <w:szCs w:val="24"/>
        </w:rPr>
        <w:t xml:space="preserve"> části</w:t>
      </w:r>
      <w:r w:rsidR="002F412D" w:rsidRPr="002F412D">
        <w:rPr>
          <w:rFonts w:ascii="Times New Roman" w:hAnsi="Times New Roman" w:cs="Times New Roman"/>
          <w:sz w:val="24"/>
          <w:szCs w:val="24"/>
        </w:rPr>
        <w:t xml:space="preserve"> pro 4 kusy letové verze přístroje REPIN pro projekt RESONANCE</w:t>
      </w:r>
      <w:r w:rsidR="002F41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412D" w:rsidRPr="002F4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12D">
        <w:rPr>
          <w:rFonts w:ascii="Times New Roman" w:hAnsi="Times New Roman" w:cs="Times New Roman"/>
          <w:color w:val="000000"/>
          <w:sz w:val="24"/>
          <w:szCs w:val="24"/>
        </w:rPr>
        <w:t xml:space="preserve">Bylo </w:t>
      </w:r>
      <w:r w:rsidR="002F412D" w:rsidRPr="002F412D">
        <w:rPr>
          <w:rFonts w:ascii="Times New Roman" w:hAnsi="Times New Roman" w:cs="Times New Roman"/>
          <w:sz w:val="24"/>
          <w:szCs w:val="24"/>
        </w:rPr>
        <w:t>dodán</w:t>
      </w:r>
      <w:r w:rsidR="002F412D">
        <w:rPr>
          <w:rFonts w:ascii="Times New Roman" w:hAnsi="Times New Roman" w:cs="Times New Roman"/>
          <w:sz w:val="24"/>
          <w:szCs w:val="24"/>
        </w:rPr>
        <w:t>o</w:t>
      </w:r>
      <w:r w:rsidR="002F412D" w:rsidRPr="002F412D">
        <w:rPr>
          <w:rFonts w:ascii="Times New Roman" w:hAnsi="Times New Roman" w:cs="Times New Roman"/>
          <w:sz w:val="24"/>
          <w:szCs w:val="24"/>
        </w:rPr>
        <w:t xml:space="preserve"> 8ks letových verzí digitálního slunečního </w:t>
      </w:r>
      <w:r w:rsidR="002F412D">
        <w:rPr>
          <w:rFonts w:ascii="Times New Roman" w:hAnsi="Times New Roman" w:cs="Times New Roman"/>
          <w:sz w:val="24"/>
          <w:szCs w:val="24"/>
        </w:rPr>
        <w:t>č</w:t>
      </w:r>
      <w:r w:rsidR="00815500">
        <w:rPr>
          <w:rFonts w:ascii="Times New Roman" w:hAnsi="Times New Roman" w:cs="Times New Roman"/>
          <w:sz w:val="24"/>
          <w:szCs w:val="24"/>
        </w:rPr>
        <w:t>idla DSS-3 na základě</w:t>
      </w:r>
      <w:r w:rsidR="002F412D" w:rsidRPr="002F412D">
        <w:rPr>
          <w:rFonts w:ascii="Times New Roman" w:hAnsi="Times New Roman" w:cs="Times New Roman"/>
          <w:sz w:val="24"/>
          <w:szCs w:val="24"/>
        </w:rPr>
        <w:t xml:space="preserve"> kontraktu s IKI Moskva</w:t>
      </w:r>
      <w:r w:rsidR="002F412D">
        <w:rPr>
          <w:rFonts w:ascii="Times New Roman" w:hAnsi="Times New Roman" w:cs="Times New Roman"/>
          <w:sz w:val="24"/>
          <w:szCs w:val="24"/>
        </w:rPr>
        <w:t xml:space="preserve">. </w:t>
      </w:r>
      <w:r w:rsidR="002F412D" w:rsidRPr="002F4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12D"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E31660" w:rsidRPr="004E1479" w:rsidRDefault="00E31660" w:rsidP="00E316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31660">
        <w:rPr>
          <w:rFonts w:ascii="Times New Roman" w:hAnsi="Times New Roman" w:cs="Times New Roman"/>
          <w:color w:val="000000"/>
          <w:sz w:val="24"/>
          <w:szCs w:val="24"/>
        </w:rPr>
        <w:t>V roce 2015 byl úspěšně dokončen vývoj a stavba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>analyzátoru TDS (</w:t>
      </w:r>
      <w:proofErr w:type="spellStart"/>
      <w:r w:rsidRPr="00E31660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spellEnd"/>
      <w:r w:rsidRPr="00E31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660">
        <w:rPr>
          <w:rFonts w:ascii="Times New Roman" w:hAnsi="Times New Roman" w:cs="Times New Roman"/>
          <w:color w:val="000000"/>
          <w:sz w:val="24"/>
          <w:szCs w:val="24"/>
        </w:rPr>
        <w:t>Domain</w:t>
      </w:r>
      <w:proofErr w:type="spellEnd"/>
      <w:r w:rsidRPr="00E31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660">
        <w:rPr>
          <w:rFonts w:ascii="Times New Roman" w:hAnsi="Times New Roman" w:cs="Times New Roman"/>
          <w:color w:val="000000"/>
          <w:sz w:val="24"/>
          <w:szCs w:val="24"/>
        </w:rPr>
        <w:t>Sampler</w:t>
      </w:r>
      <w:proofErr w:type="spellEnd"/>
      <w:r w:rsidRPr="00E31660">
        <w:rPr>
          <w:rFonts w:ascii="Times New Roman" w:hAnsi="Times New Roman" w:cs="Times New Roman"/>
          <w:color w:val="000000"/>
          <w:sz w:val="24"/>
          <w:szCs w:val="24"/>
        </w:rPr>
        <w:t xml:space="preserve">) pro měření elektromagnetických vln na sondě Solar </w:t>
      </w:r>
      <w:proofErr w:type="spellStart"/>
      <w:r w:rsidRPr="00E31660">
        <w:rPr>
          <w:rFonts w:ascii="Times New Roman" w:hAnsi="Times New Roman" w:cs="Times New Roman"/>
          <w:color w:val="000000"/>
          <w:sz w:val="24"/>
          <w:szCs w:val="24"/>
        </w:rPr>
        <w:t>Orbiter</w:t>
      </w:r>
      <w:proofErr w:type="spellEnd"/>
      <w:r w:rsidRPr="00E31660">
        <w:rPr>
          <w:rFonts w:ascii="Times New Roman" w:hAnsi="Times New Roman" w:cs="Times New Roman"/>
          <w:color w:val="000000"/>
          <w:sz w:val="24"/>
          <w:szCs w:val="24"/>
        </w:rPr>
        <w:t>.  Přístroj je nyní ve fázi testů letových exemplářů.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>Analyzátor LFR (vícesložkový nízkofrekvenční přijímač elektromagnetických vln) pro sondu JUICE, která zamíří k měsícům planety Jupiter, je ve stadiu přípravy prototypu.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Vyví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>jeny jsou rovněž obdobné přístroje ELMAVAN pro projekt Resonance a LEMRA-L pro měsíční sondu Luna-Glob.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CA0C92" w:rsidRDefault="00CA0C92" w:rsidP="00CA0C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F4A">
        <w:rPr>
          <w:rFonts w:ascii="Times New Roman" w:hAnsi="Times New Roman" w:cs="Times New Roman"/>
          <w:color w:val="000000"/>
          <w:sz w:val="24"/>
          <w:szCs w:val="24"/>
        </w:rPr>
        <w:t xml:space="preserve">Aktivně se podílíme na vývoji několika přístrojů pro projekty ESA – subsystém pro měření vlnových forem elektromagnetických polí v rámci přístroje RPW mise Solar </w:t>
      </w:r>
      <w:proofErr w:type="spellStart"/>
      <w:r w:rsidRPr="005D4F4A">
        <w:rPr>
          <w:rFonts w:ascii="Times New Roman" w:hAnsi="Times New Roman" w:cs="Times New Roman"/>
          <w:color w:val="000000"/>
          <w:sz w:val="24"/>
          <w:szCs w:val="24"/>
        </w:rPr>
        <w:t>Orbiter</w:t>
      </w:r>
      <w:proofErr w:type="spellEnd"/>
      <w:r w:rsidRPr="005D4F4A">
        <w:rPr>
          <w:rFonts w:ascii="Times New Roman" w:hAnsi="Times New Roman" w:cs="Times New Roman"/>
          <w:color w:val="000000"/>
          <w:sz w:val="24"/>
          <w:szCs w:val="24"/>
        </w:rPr>
        <w:t xml:space="preserve"> a analyzátor elektromagnetických polí pro přístroj RPWI připravované planetární mise k Jupiteru JUICE.  (ÚFA AVČR)</w:t>
      </w:r>
    </w:p>
    <w:p w:rsidR="005650D3" w:rsidRPr="005650D3" w:rsidRDefault="005D4F4A" w:rsidP="0056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4F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roce 2011 byla vypuštěna radioastronomická družice </w:t>
      </w:r>
      <w:r w:rsidR="005650D3" w:rsidRPr="0056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SPEKTR-R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na jejíž palubě je v rámci komplexu PLASMA-F umístěn přístroj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BMSW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(rychlý monitor parametrů slunečního větru) vyvinutý naší skupinou ve spolupráci s Ústavem kosmických výzkumů v Moskvě. V roce 2015 jsme pokračovali ve zpracování a interpretaci pozorování</w:t>
      </w:r>
      <w:r w:rsidRPr="005D4F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jež jsou unikátní hlavně díky vysokému rozlišení měření přístroje (měří s rychlostí až 31 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Získaná data jsou velmi kvalitní a mají mezinárodní ohlas. Webové</w:t>
      </w:r>
      <w:r w:rsidR="005650D3" w:rsidRPr="00565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stránky </w:t>
      </w:r>
      <w:r w:rsidR="005650D3" w:rsidRPr="002F4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http://aurora.troja.mff.cuni.cz/spektr-r/project/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zpřístupňují vědecké i laické veřejnosti (data prezentována ve formě tzv. </w:t>
      </w:r>
      <w:proofErr w:type="spellStart"/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quick-looks</w:t>
      </w:r>
      <w:proofErr w:type="spellEnd"/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rozlišením 30 vteřin). Stránky jsou doplněny i seznamy přístrojem registrovaných meziplanetárních rázových vln a dalších výrazných struktur ve slunečním větru a přehledem úseků měřených s nejvyšším rozlišením. Současně je možno na těchto stránkách sledovat i polohu ostatních družic (Cluster, Themis a monitory slunečního větru) a získat rychlý přehled o měření BMSW z dat analogových kanálů. </w:t>
      </w:r>
      <w:r w:rsidRPr="005D4F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(MFF</w:t>
      </w: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UK)</w:t>
      </w:r>
    </w:p>
    <w:p w:rsidR="005650D3" w:rsidRPr="005650D3" w:rsidRDefault="005650D3" w:rsidP="0056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roce 2015 pokračovaly práce na přístroji pro měření vysoko-energetických elektronů </w:t>
      </w:r>
      <w:r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IDEE </w:t>
      </w:r>
      <w:r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projektu </w:t>
      </w:r>
      <w:r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TARANIS</w:t>
      </w:r>
      <w:r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(předpokládaný start 2018),</w:t>
      </w:r>
      <w:r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vyvíjeném ve spolupráci s francouzskou stranou na základě dvoustranné spolupráce. Na MFF UK je vyvíjena </w:t>
      </w:r>
      <w:r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procesorová paměťová jednotka - v roce 2015 po osazení dvou letových modulů ve Francii jsme prováděli jejich funkční a teplotní testy v ČR. Poté jsme s našimi jednotkami absolvovali ve Francii náročné vibrační a termo-vakuové zkoušky a prováděli společné testy s letovými verzemi elektroniky detektoru elektronů. </w:t>
      </w:r>
      <w:r w:rsid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(MFF UK)</w:t>
      </w:r>
    </w:p>
    <w:p w:rsidR="005650D3" w:rsidRPr="005650D3" w:rsidRDefault="00094D4D" w:rsidP="0056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Podílíme se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několika experimentech ESA – elektronový spektrometr pro misi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BEPI </w:t>
      </w:r>
      <w:proofErr w:type="spellStart"/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Colombo</w:t>
      </w:r>
      <w:proofErr w:type="spellEnd"/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(k planetě Merkur). Ve spolupráci s francouzskou stranou se MFF UK podílí dále na přípravě analyzátoru protonů/alfa částic 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SWA/PAS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projektu ESA </w:t>
      </w:r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Solar </w:t>
      </w:r>
      <w:proofErr w:type="spellStart"/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Orbiter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roce 2015 jsme dokončili výrobu a testování a předali verzi EQM jedné z elektronických desek bloku s předzesilovači a zdroji vysokého napětí. V prosinci 2015 jsme zahájili výrobu první letové desky, její testování a výroba záložní desky budou pokračovat v roce 2016.</w:t>
      </w: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(MFF UK)</w:t>
      </w:r>
    </w:p>
    <w:p w:rsidR="005650D3" w:rsidRPr="005650D3" w:rsidRDefault="00094D4D" w:rsidP="0056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rámci konsorcia </w:t>
      </w:r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THOR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výzvu ESA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M4 jsme se jako PI účastnili soutěže s návrhem přístroje pro rychlý monitoring slunečního větru 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FAR.</w:t>
      </w:r>
      <w:r w:rsidR="00A62F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V rámci téhož konsorcia jsme se jako PI též účastnili s přístrojem pro analýzu elektromagnetických vln. Jsme též odpovědni za koordinaci přístrojového vybavení pro celé konsorcium.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 THOR postoupil s dvěma jinými projekty do studijní fáze A. Konečný výběr projektu k financování v ESA + PRODEX (CR) bude uskutečněn v roce 2017.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(MFF UK</w:t>
      </w:r>
      <w:r w:rsidR="00A62F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A62F70" w:rsidRPr="005D4F4A">
        <w:rPr>
          <w:rFonts w:ascii="Times New Roman" w:hAnsi="Times New Roman" w:cs="Times New Roman"/>
          <w:color w:val="000000"/>
          <w:sz w:val="24"/>
          <w:szCs w:val="24"/>
        </w:rPr>
        <w:t>ÚFA AVČR)</w:t>
      </w:r>
    </w:p>
    <w:p w:rsidR="005650D3" w:rsidRPr="005650D3" w:rsidRDefault="00094D4D" w:rsidP="0056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4F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P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okračuje spolupráce s Ústavem kosmických výzkumů v Moskvě návrhem a přípravou technologické verze přístroje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BMSW-S a BMSW-LG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(obdoby BMSW) pro ruské sondy </w:t>
      </w:r>
      <w:proofErr w:type="spellStart"/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Strannik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(okolí Země) a </w:t>
      </w:r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Luna-</w:t>
      </w:r>
      <w:proofErr w:type="spellStart"/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Resource</w:t>
      </w:r>
      <w:proofErr w:type="spellEnd"/>
      <w:r w:rsidR="005650D3" w:rsidRPr="00565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-Orbital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(monitoring prostředí v okolí Měsíce) a přípravou koncepce přístroje 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BMSW-I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Interheliozond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(vnitřní 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heliosféra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  <w:r w:rsidR="005D4F4A" w:rsidRPr="005D4F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(MFF UK)</w:t>
      </w:r>
    </w:p>
    <w:p w:rsidR="005650D3" w:rsidRPr="005650D3" w:rsidRDefault="00094D4D" w:rsidP="00094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studium fyzikálních procesů</w:t>
      </w:r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interakce </w:t>
      </w:r>
      <w:proofErr w:type="gramStart"/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Slunce</w:t>
      </w:r>
      <w:proofErr w:type="gramEnd"/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–</w:t>
      </w:r>
      <w:proofErr w:type="gramStart"/>
      <w:r w:rsidR="005650D3" w:rsidRPr="00565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Země</w:t>
      </w:r>
      <w:proofErr w:type="gram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věnuje</w:t>
      </w:r>
      <w:r w:rsidR="008155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zpracování dat hlavně z projektů Cluster, Themis-Artemis a 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Spektr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-R, byť jejich měření jsou doplňována často o údaje z dalších družic. Očekáváme i nová data z družic MMS a DSCOVR.</w:t>
      </w:r>
      <w:r w:rsidRP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(MFF UK)</w:t>
      </w:r>
    </w:p>
    <w:p w:rsidR="005650D3" w:rsidRPr="005650D3" w:rsidRDefault="002048D1" w:rsidP="00204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Významné výsledky s daty z přístroje BMSW byly v roce 2015 publikovány v 6 mezinárodních recenzovaných časopisech, další články se připravují pro publikaci. 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popsán přístroj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přehledem hlavních výsledků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studiu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turbulence plazmatu ve slunečním větru v i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ontově-kinetické škále, iontové škály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kvaziperpendikulárních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meziplan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etárních rázových vln, interakce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meziplanetárních 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rázových vln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olozemní</w:t>
      </w:r>
      <w:proofErr w:type="spellEnd"/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rázovou vlnou a přenos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struktur slunečního větru do přechodové oblasti. 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(MFF UK)</w:t>
      </w:r>
    </w:p>
    <w:p w:rsidR="005650D3" w:rsidRPr="005650D3" w:rsidRDefault="002048D1" w:rsidP="00204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Dále</w:t>
      </w:r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jsme studovali detaily ve formování přechodové vrstvy LLBL pro severní a jižní orientaci meziplanetárního magnetického pole a krátkodobé jevy v oblasti 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magnetopauzy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procesy vzniku a šíření tzv. rovníkového šumu v magnetosféře a emisí lineární harmonických radiací a </w:t>
      </w:r>
      <w:proofErr w:type="spellStart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power</w:t>
      </w:r>
      <w:proofErr w:type="spellEnd"/>
      <w:r w:rsidR="005650D3"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-line harmonických emisí v ionosféře Země.</w:t>
      </w:r>
      <w:r w:rsidRPr="002048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(MFF UK</w:t>
      </w:r>
      <w:r w:rsidR="00A62F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A62F70" w:rsidRPr="005D4F4A">
        <w:rPr>
          <w:rFonts w:ascii="Times New Roman" w:hAnsi="Times New Roman" w:cs="Times New Roman"/>
          <w:color w:val="000000"/>
          <w:sz w:val="24"/>
          <w:szCs w:val="24"/>
        </w:rPr>
        <w:t>ÚFA AVČR)</w:t>
      </w:r>
    </w:p>
    <w:p w:rsidR="005650D3" w:rsidRPr="005650D3" w:rsidRDefault="005650D3" w:rsidP="00565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50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Výzkumné práce v laboratoři i nadále rozšiřují naše znalosti nabíjecích procesů kosmického prachu. V posledním roce jsme se zaměřili především na studium fotoemise z náhražky měsíčního regolitu a na studium odprašování zrn pod dopadem energetických iontů. Prvně zmíněná měření probíhala již na nově vybudované aparatuře, která umožňuje pozorovat interakci UV záření s prachovými zrnky. První výsledky (určená výstupní práce a kvantový výtěžek fotoemise) potvrzují předpokládané hodnoty a neprojevuje se u nich vliv velikosti zrn, alespoň ne do velikostí stovek nanometrů. Tyto výsledky jsou světově unikátní. Odprašovací experimenty byly provedeny na dalších materiálech (amorfní uhlík, pryskyřice) a celý proces se povedlo úspěšně namodelovat. Pro ověření modelu jsme dále provedli sérii experimentů v elektronovém mikroskopu opatřeném iontovým dělem. Ty nám umožnili pochopit geometrické změny zrn probíhající při odprašování. Přistoupili jsme také k budování nového experimentu využívajícího ultrazvukové pasti, ve kterém chceme studovat radiální rozptylové profily viditelného světla na prachových zrnech obecného tvaru.</w:t>
      </w:r>
      <w:r w:rsidR="00094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(MFF UK)</w:t>
      </w:r>
    </w:p>
    <w:p w:rsidR="00ED47E9" w:rsidRPr="00ED47E9" w:rsidRDefault="00ED47E9" w:rsidP="00ED47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7E9">
        <w:rPr>
          <w:rFonts w:ascii="Times New Roman" w:hAnsi="Times New Roman" w:cs="Times New Roman"/>
          <w:sz w:val="24"/>
          <w:szCs w:val="24"/>
        </w:rPr>
        <w:t xml:space="preserve">Sluneční oddělení ASÚ AV ČR se nadále podílí na přípravě sondy ESA Solar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Orbiter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, pro kterou je realizován palubní hardware a software v rámci tří mezinárodních konsorcií, STIX (rentgenový teleskop), METIS (UV a optický koronograf) a RPW (in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detekce plazmatu a vln) – předpokládaný start r. 2018. Dále se podílíme na projektu ESA Proba-3, což je let dvou </w:t>
      </w:r>
      <w:r w:rsidRPr="00ED47E9">
        <w:rPr>
          <w:rFonts w:ascii="Times New Roman" w:hAnsi="Times New Roman" w:cs="Times New Roman"/>
          <w:sz w:val="24"/>
          <w:szCs w:val="24"/>
        </w:rPr>
        <w:lastRenderedPageBreak/>
        <w:t xml:space="preserve">družic ve formaci, na kterých bude umístěn velký koronograf s externím zástinem – předpokládaný start r. 2018. Kromě toho je ASÚ zapojen do řady vědeckých kosmických projektů ESA, NASA či JAXA (XMM,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Gaia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, SOHO,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Integral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, IRIS, GOCE, CLASP, JUICE, LOFT,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Athena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, SWARM). ASÚ se rovněž podílí na simulacích interakce slunečního větru s magnetosférou planety Merkur s cílem analyzovat budoucí data ze sondy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Bepi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Colombo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>. Nejnákladnější projekty jsou realizovány v rámci programu ESA PRODEX,</w:t>
      </w:r>
      <w:r>
        <w:rPr>
          <w:rFonts w:ascii="Times New Roman" w:hAnsi="Times New Roman" w:cs="Times New Roman"/>
          <w:sz w:val="24"/>
          <w:szCs w:val="24"/>
        </w:rPr>
        <w:t xml:space="preserve"> jehož je ČR součástí.  (ASÚ AV</w:t>
      </w:r>
      <w:r w:rsidRPr="00ED47E9">
        <w:rPr>
          <w:rFonts w:ascii="Times New Roman" w:hAnsi="Times New Roman" w:cs="Times New Roman"/>
          <w:sz w:val="24"/>
          <w:szCs w:val="24"/>
        </w:rPr>
        <w:t>ČR)</w:t>
      </w:r>
    </w:p>
    <w:p w:rsidR="00CA0C92" w:rsidRPr="00ED47E9" w:rsidRDefault="00CA0C92" w:rsidP="00CA0C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7E9">
        <w:rPr>
          <w:rFonts w:ascii="Times New Roman" w:hAnsi="Times New Roman" w:cs="Times New Roman"/>
          <w:sz w:val="24"/>
          <w:szCs w:val="24"/>
        </w:rPr>
        <w:t>Sluneč</w:t>
      </w:r>
      <w:r w:rsidR="00ED47E9">
        <w:rPr>
          <w:rFonts w:ascii="Times New Roman" w:hAnsi="Times New Roman" w:cs="Times New Roman"/>
          <w:sz w:val="24"/>
          <w:szCs w:val="24"/>
        </w:rPr>
        <w:t>ní oddělení ASÚ AV</w:t>
      </w:r>
      <w:r w:rsidR="00D84DC7" w:rsidRPr="00ED47E9">
        <w:rPr>
          <w:rFonts w:ascii="Times New Roman" w:hAnsi="Times New Roman" w:cs="Times New Roman"/>
          <w:sz w:val="24"/>
          <w:szCs w:val="24"/>
        </w:rPr>
        <w:t xml:space="preserve">ČR je </w:t>
      </w:r>
      <w:r w:rsidRPr="00ED47E9">
        <w:rPr>
          <w:rFonts w:ascii="Times New Roman" w:hAnsi="Times New Roman" w:cs="Times New Roman"/>
          <w:sz w:val="24"/>
          <w:szCs w:val="24"/>
        </w:rPr>
        <w:t>zapojeno do projektu FP7 F-CHROMA, který je zaměřen na detailní studium slunečních erupcí. V rámci tohoto projektu jsou analyzována data z družic a prováděny rozsáhlé numerické simulace vývoje erupčního plazmatu a jeho</w:t>
      </w:r>
      <w:r w:rsidR="00ED47E9">
        <w:rPr>
          <w:rFonts w:ascii="Times New Roman" w:hAnsi="Times New Roman" w:cs="Times New Roman"/>
          <w:sz w:val="24"/>
          <w:szCs w:val="24"/>
        </w:rPr>
        <w:t xml:space="preserve"> interakce se zářením.  (ASÚ AV</w:t>
      </w:r>
      <w:r w:rsidRPr="00ED47E9">
        <w:rPr>
          <w:rFonts w:ascii="Times New Roman" w:hAnsi="Times New Roman" w:cs="Times New Roman"/>
          <w:sz w:val="24"/>
          <w:szCs w:val="24"/>
        </w:rPr>
        <w:t>ČR)</w:t>
      </w:r>
    </w:p>
    <w:p w:rsidR="00ED47E9" w:rsidRPr="00ED47E9" w:rsidRDefault="00ED47E9" w:rsidP="00ED47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7E9">
        <w:rPr>
          <w:rFonts w:ascii="Times New Roman" w:hAnsi="Times New Roman" w:cs="Times New Roman"/>
          <w:sz w:val="24"/>
          <w:szCs w:val="24"/>
        </w:rPr>
        <w:t xml:space="preserve">Byla analyzována spektra v UV oblasti z nové družice IRIS (NASA). Ve spektrech byla detekována dlouho hledaná emise rekombinačního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Balmerova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kontinua vodíku, teoreticky předpovězená v průběhu slunečních erupcí. Dále vznikla podrobná studie emise čar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MgII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během erupcí, data z družice IRIS. Výsledky byly prezentovány na workshopu IRIS-4 v 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Boulder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(USA). Pokračovala také analýza dat z družic SDO (NASA), </w:t>
      </w:r>
      <w:proofErr w:type="spellStart"/>
      <w:r w:rsidRPr="00ED47E9">
        <w:rPr>
          <w:rFonts w:ascii="Times New Roman" w:hAnsi="Times New Roman" w:cs="Times New Roman"/>
          <w:sz w:val="24"/>
          <w:szCs w:val="24"/>
        </w:rPr>
        <w:t>Hinode</w:t>
      </w:r>
      <w:proofErr w:type="spellEnd"/>
      <w:r w:rsidRPr="00ED47E9">
        <w:rPr>
          <w:rFonts w:ascii="Times New Roman" w:hAnsi="Times New Roman" w:cs="Times New Roman"/>
          <w:sz w:val="24"/>
          <w:szCs w:val="24"/>
        </w:rPr>
        <w:t xml:space="preserve"> (JAXA) a zcela nově CLASP (JAXA, NASA). Pro studium urychlených elektronových svazků ve slunečních erupcích jsou běžně využívána data z družice RHESSI (NASA). </w:t>
      </w:r>
      <w:r>
        <w:rPr>
          <w:rFonts w:ascii="Times New Roman" w:hAnsi="Times New Roman" w:cs="Times New Roman"/>
          <w:sz w:val="24"/>
          <w:szCs w:val="24"/>
        </w:rPr>
        <w:t>(ASÚ AV</w:t>
      </w:r>
      <w:r w:rsidRPr="00ED47E9">
        <w:rPr>
          <w:rFonts w:ascii="Times New Roman" w:hAnsi="Times New Roman" w:cs="Times New Roman"/>
          <w:sz w:val="24"/>
          <w:szCs w:val="24"/>
        </w:rPr>
        <w:t>ČR)</w:t>
      </w:r>
    </w:p>
    <w:p w:rsidR="004D5F36" w:rsidRDefault="004D5F36" w:rsidP="004D5F36">
      <w:pPr>
        <w:pStyle w:val="Formtovanv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A0C92">
        <w:rPr>
          <w:rFonts w:ascii="Times New Roman" w:hAnsi="Times New Roman" w:cs="Times New Roman"/>
          <w:color w:val="000000"/>
          <w:sz w:val="24"/>
          <w:szCs w:val="24"/>
        </w:rPr>
        <w:t xml:space="preserve">     Aktivně se podílíme na kalibraci českých akcelerometrů na palubě tří družic mise </w:t>
      </w:r>
      <w:proofErr w:type="spellStart"/>
      <w:r w:rsidRPr="00CA0C92">
        <w:rPr>
          <w:rFonts w:ascii="Times New Roman" w:hAnsi="Times New Roman" w:cs="Times New Roman"/>
          <w:color w:val="000000"/>
          <w:sz w:val="24"/>
          <w:szCs w:val="24"/>
        </w:rPr>
        <w:t>Swarm</w:t>
      </w:r>
      <w:proofErr w:type="spellEnd"/>
      <w:r w:rsidRPr="00CA0C92">
        <w:rPr>
          <w:rFonts w:ascii="Times New Roman" w:hAnsi="Times New Roman" w:cs="Times New Roman"/>
          <w:color w:val="000000"/>
          <w:sz w:val="24"/>
          <w:szCs w:val="24"/>
        </w:rPr>
        <w:t xml:space="preserve"> (ESA). V roce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A0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byly prezentovány výsledky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/Val týmů na kongresu IUGG v Praze, v druhé polovině roku se konal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/Val workshop v Paříži. Zlepšená kvalita GPS dat na družicích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Swarm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umožnila spočtení a prezentaci prvních měsíčních gravitačních řešení, prokázalo se tak, že v případě výpadku mise GRACE je mise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Swarm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schopna poskytnout časově proměnné gravitační pole. </w:t>
      </w:r>
      <w:r w:rsidRPr="00CA0C92">
        <w:rPr>
          <w:rFonts w:ascii="Times New Roman" w:hAnsi="Times New Roman" w:cs="Times New Roman"/>
          <w:color w:val="000000"/>
          <w:sz w:val="24"/>
          <w:szCs w:val="24"/>
        </w:rPr>
        <w:t>(ASÚ AVČR)</w:t>
      </w:r>
    </w:p>
    <w:p w:rsidR="00014D89" w:rsidRPr="00584A95" w:rsidRDefault="00E31660" w:rsidP="00584A9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V l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 xml:space="preserve">istopadu 2015 oznámila Evropská kosmická agentura výsledky soutěže návrhů vědeckých přístrojů pro přistávací platformu mise </w:t>
      </w:r>
      <w:proofErr w:type="spellStart"/>
      <w:r w:rsidRPr="00E31660">
        <w:rPr>
          <w:rFonts w:ascii="Times New Roman" w:hAnsi="Times New Roman" w:cs="Times New Roman"/>
          <w:color w:val="000000"/>
          <w:sz w:val="24"/>
          <w:szCs w:val="24"/>
        </w:rPr>
        <w:t>ExoMars</w:t>
      </w:r>
      <w:proofErr w:type="spellEnd"/>
      <w:r w:rsidRPr="00E31660">
        <w:rPr>
          <w:rFonts w:ascii="Times New Roman" w:hAnsi="Times New Roman" w:cs="Times New Roman"/>
          <w:color w:val="000000"/>
          <w:sz w:val="24"/>
          <w:szCs w:val="24"/>
        </w:rPr>
        <w:t xml:space="preserve"> 2018. Jedním z vybraných návrhů je i </w:t>
      </w:r>
      <w:r w:rsidR="00014D89">
        <w:rPr>
          <w:rFonts w:ascii="Times New Roman" w:hAnsi="Times New Roman" w:cs="Times New Roman"/>
          <w:color w:val="000000"/>
          <w:sz w:val="24"/>
          <w:szCs w:val="24"/>
        </w:rPr>
        <w:t xml:space="preserve">náš 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>modul analyzátoru elektromagnetických vln</w:t>
      </w:r>
      <w:r w:rsidR="00014D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D8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>odul vlnového analyzátoru umožní poprvé na místě ověřit, existují-li bleskové výboje v prach</w:t>
      </w:r>
      <w:r w:rsidR="00014D89">
        <w:rPr>
          <w:rFonts w:ascii="Times New Roman" w:hAnsi="Times New Roman" w:cs="Times New Roman"/>
          <w:color w:val="000000"/>
          <w:sz w:val="24"/>
          <w:szCs w:val="24"/>
        </w:rPr>
        <w:t>ových bouřích a větrných vírech a dále</w:t>
      </w:r>
      <w:r w:rsidRPr="00E31660">
        <w:rPr>
          <w:rFonts w:ascii="Times New Roman" w:hAnsi="Times New Roman" w:cs="Times New Roman"/>
          <w:color w:val="000000"/>
          <w:sz w:val="24"/>
          <w:szCs w:val="24"/>
        </w:rPr>
        <w:t xml:space="preserve"> modulu je zjistit, mohou-li se rádiové vlny šířit z meziplanetárního prostředí až na povrch Marsu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D89"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Vesmír</w:t>
      </w:r>
      <w:r w:rsidR="00584A95"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ná mise </w:t>
      </w:r>
      <w:proofErr w:type="spellStart"/>
      <w:r w:rsidR="00584A95" w:rsidRPr="00584A95">
        <w:rPr>
          <w:rFonts w:ascii="Times New Roman" w:hAnsi="Times New Roman" w:cs="Times New Roman"/>
          <w:color w:val="000000"/>
          <w:sz w:val="24"/>
          <w:szCs w:val="24"/>
        </w:rPr>
        <w:t>ExoMars</w:t>
      </w:r>
      <w:proofErr w:type="spellEnd"/>
      <w:r w:rsidR="00584A95"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má několik cílů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. Nejprve odstartuje v březnu 2016 sonda, která bude obíhat planetu a dálkově zkoumat stopové složky atmosféry (především metan a vodní páru). Zároveň bude zajišťovat předávání dat z povrchu Marsu. V květnu 2018 má dojít k vypuštění další sondy, jež by měla k její cílové oblasti </w:t>
      </w:r>
      <w:proofErr w:type="spellStart"/>
      <w:r w:rsidRPr="00584A95">
        <w:rPr>
          <w:rFonts w:ascii="Times New Roman" w:hAnsi="Times New Roman" w:cs="Times New Roman"/>
          <w:color w:val="000000"/>
          <w:sz w:val="24"/>
          <w:szCs w:val="24"/>
        </w:rPr>
        <w:t>Oxia</w:t>
      </w:r>
      <w:proofErr w:type="spellEnd"/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A95">
        <w:rPr>
          <w:rFonts w:ascii="Times New Roman" w:hAnsi="Times New Roman" w:cs="Times New Roman"/>
          <w:color w:val="000000"/>
          <w:sz w:val="24"/>
          <w:szCs w:val="24"/>
        </w:rPr>
        <w:t>Planum</w:t>
      </w:r>
      <w:proofErr w:type="spellEnd"/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dorazit v lednu 2019. Její náklad se bude skládat z přistávací platformy a automatického průzkumného vozidla.</w:t>
      </w:r>
      <w:r w:rsidR="00014D89"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Přistávací platforma bude obsahovat několik vědeckých přístrojů určených k výzkumu prostředí na povrchu Marsu po dobu jednoho tamního roku (neboli téměř dvou let na Zemi).</w:t>
      </w:r>
      <w:r w:rsidR="00014D89"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Součástí přístrojového vybavení přistávací platformy bude i </w:t>
      </w:r>
      <w:r w:rsidR="00014D89" w:rsidRPr="00584A95">
        <w:rPr>
          <w:rFonts w:ascii="Times New Roman" w:hAnsi="Times New Roman" w:cs="Times New Roman"/>
          <w:color w:val="000000"/>
          <w:sz w:val="24"/>
          <w:szCs w:val="24"/>
        </w:rPr>
        <w:t>náš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modul vlnového analyzátoru. Ten umožní zkoumat elektromagnetické vlny atmosférického původu, magnetické anomálie na Marsu a působení meziplanetárního prostředí a kosmického počasí na poměry na povrchu.</w:t>
      </w:r>
      <w:r w:rsidR="00584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A95"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584A95" w:rsidRPr="005D4F4A" w:rsidRDefault="00584A95" w:rsidP="00584A9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roce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jsme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dokončili vývoj analyzátoru IME-HF pro družici TARANIS.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Přístroj je nyní ve fázi stavby letových exemplářů.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Hlavním posláním této francouzské družice bude studium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atmosférických výbojů mezi troposférou a ionosférou, zejména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tzv. výbojů typu sprite a pozemních gama záblesků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V rámci projektu jsme instalovali prototypy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IME-HF na </w:t>
      </w:r>
      <w:proofErr w:type="spellStart"/>
      <w:r w:rsidRPr="00584A95">
        <w:rPr>
          <w:rFonts w:ascii="Times New Roman" w:hAnsi="Times New Roman" w:cs="Times New Roman"/>
          <w:color w:val="000000"/>
          <w:sz w:val="24"/>
          <w:szCs w:val="24"/>
        </w:rPr>
        <w:t>Plateau</w:t>
      </w:r>
      <w:proofErr w:type="spellEnd"/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A95">
        <w:rPr>
          <w:rFonts w:ascii="Times New Roman" w:hAnsi="Times New Roman" w:cs="Times New Roman"/>
          <w:color w:val="000000"/>
          <w:sz w:val="24"/>
          <w:szCs w:val="24"/>
        </w:rPr>
        <w:t>d‘Albion</w:t>
      </w:r>
      <w:proofErr w:type="spellEnd"/>
      <w:r w:rsidRPr="00584A9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jižní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Francii a na severní cíp ostrova Korsika. Tato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pozemní měření slouží jednak k testování družicového přístroje pomocí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signálů generovaných přírodními bleskovými výboji, jednak k výzkumu málo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prozkoumaných procesů odehrávajících se uvnitř bouřkového oblaku, který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A95">
        <w:rPr>
          <w:rFonts w:ascii="Times New Roman" w:hAnsi="Times New Roman" w:cs="Times New Roman"/>
          <w:color w:val="000000"/>
          <w:sz w:val="24"/>
          <w:szCs w:val="24"/>
        </w:rPr>
        <w:t>již přinesl zajímavé výsledky týkající se prvotních fází bleskového výboje. Po startu družice TARANIS budou tato měření používána pro porovnání s jejími daty.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2F412D" w:rsidRPr="00876A28" w:rsidRDefault="002F412D" w:rsidP="00876A2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Vytvořili jsme globální modely horní přechodové výšky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55B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tj. výšky</w:t>
      </w:r>
      <w:r w:rsidRPr="00311CC9">
        <w:rPr>
          <w:rFonts w:ascii="Times New Roman" w:hAnsi="Times New Roman" w:cs="Times New Roman"/>
          <w:color w:val="000000"/>
          <w:sz w:val="24"/>
          <w:szCs w:val="24"/>
        </w:rPr>
        <w:t>, kde je rovna koncentrace O</w:t>
      </w:r>
      <w:r w:rsidRPr="00311CC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311CC9">
        <w:rPr>
          <w:rFonts w:ascii="Times New Roman" w:hAnsi="Times New Roman" w:cs="Times New Roman"/>
          <w:color w:val="000000"/>
          <w:sz w:val="24"/>
          <w:szCs w:val="24"/>
        </w:rPr>
        <w:t xml:space="preserve"> a H</w:t>
      </w:r>
      <w:r w:rsidRPr="00311CC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(pop</w:t>
      </w:r>
      <w:r w:rsidRPr="00F55B12">
        <w:rPr>
          <w:rFonts w:ascii="Times New Roman" w:hAnsi="Times New Roman" w:cs="Times New Roman"/>
          <w:color w:val="000000"/>
          <w:sz w:val="24"/>
          <w:szCs w:val="24"/>
        </w:rPr>
        <w:t>ř.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Pr="00311CC9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11CC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11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 období slunečních minim na základě dříve vyvinutého algoritmu určení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55B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vertikálních profilů elektronové koncentrace </w:t>
      </w:r>
      <w:r w:rsidRPr="008155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15500">
        <w:rPr>
          <w:rFonts w:ascii="Times New Roman" w:hAnsi="Times New Roman" w:cs="Times New Roman"/>
          <w:sz w:val="24"/>
          <w:szCs w:val="24"/>
        </w:rPr>
        <w:t>ISIS/</w:t>
      </w:r>
      <w:proofErr w:type="spellStart"/>
      <w:r w:rsidRPr="00815500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815500">
        <w:rPr>
          <w:rFonts w:ascii="Times New Roman" w:hAnsi="Times New Roman" w:cs="Times New Roman"/>
          <w:sz w:val="24"/>
          <w:szCs w:val="24"/>
        </w:rPr>
        <w:t xml:space="preserve"> a COSMIC).</w:t>
      </w:r>
      <w:r>
        <w:t xml:space="preserve"> Modely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byly testovány daty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55B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získanými z měření iontových koncentrací (RPA na družici C/NOFS, hmotové spektrometry na družicích AE-C a AE-E a ISR v Charkově). Globální modely</w:t>
      </w:r>
      <w:r w:rsidRPr="00311CC9">
        <w:rPr>
          <w:rFonts w:ascii="Times New Roman" w:hAnsi="Times New Roman" w:cs="Times New Roman"/>
          <w:color w:val="000000"/>
          <w:sz w:val="24"/>
          <w:szCs w:val="24"/>
        </w:rPr>
        <w:t xml:space="preserve"> horní přechodové výšky </w:t>
      </w:r>
      <w:r>
        <w:t>mohou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sloužit k vylepšení modelu iontového složení v</w:t>
      </w:r>
      <w:r w:rsidRPr="00311CC9">
        <w:rPr>
          <w:rFonts w:ascii="Times New Roman" w:hAnsi="Times New Roman" w:cs="Times New Roman"/>
          <w:color w:val="000000"/>
          <w:sz w:val="24"/>
          <w:szCs w:val="24"/>
        </w:rPr>
        <w:t xml:space="preserve"> IRI (International Reference </w:t>
      </w:r>
      <w:proofErr w:type="spellStart"/>
      <w:r w:rsidRPr="00311CC9">
        <w:rPr>
          <w:rFonts w:ascii="Times New Roman" w:hAnsi="Times New Roman" w:cs="Times New Roman"/>
          <w:color w:val="000000"/>
          <w:sz w:val="24"/>
          <w:szCs w:val="24"/>
        </w:rPr>
        <w:t>Ionospher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a též pro jeho aktualizaci v reálném čase.</w:t>
      </w:r>
      <w:r w:rsidR="00876A28">
        <w:t xml:space="preserve">  </w:t>
      </w:r>
      <w:r w:rsidR="00876A28"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2F412D" w:rsidRPr="00876A28" w:rsidRDefault="002F412D" w:rsidP="00876A2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Pomocí simulací modelem FLIP bylo zjištěno, že pravděpodobnou příčinou </w:t>
      </w:r>
      <w:r w:rsidR="00BD23E5">
        <w:rPr>
          <w:rFonts w:ascii="Times New Roman" w:hAnsi="Times New Roman" w:cs="Times New Roman"/>
          <w:color w:val="000000"/>
          <w:sz w:val="24"/>
          <w:szCs w:val="24"/>
        </w:rPr>
        <w:t>anomálně nízké horní přechodové výšky</w:t>
      </w:r>
      <w:r w:rsidRPr="0095554C">
        <w:rPr>
          <w:rFonts w:ascii="Times New Roman" w:hAnsi="Times New Roman" w:cs="Times New Roman"/>
          <w:color w:val="000000"/>
          <w:sz w:val="24"/>
          <w:szCs w:val="24"/>
        </w:rPr>
        <w:t xml:space="preserve"> během posledního slunečního minima </w:t>
      </w:r>
      <w:r w:rsidR="00BD23E5">
        <w:rPr>
          <w:rFonts w:ascii="Times New Roman" w:hAnsi="Times New Roman" w:cs="Times New Roman"/>
          <w:color w:val="000000"/>
          <w:sz w:val="24"/>
          <w:szCs w:val="24"/>
        </w:rPr>
        <w:t>nad</w:t>
      </w:r>
      <w:r w:rsidRPr="00955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3E5">
        <w:rPr>
          <w:rFonts w:ascii="Times New Roman" w:hAnsi="Times New Roman" w:cs="Times New Roman"/>
          <w:color w:val="000000"/>
          <w:sz w:val="24"/>
          <w:szCs w:val="24"/>
        </w:rPr>
        <w:t>ISR</w:t>
      </w:r>
      <w:r w:rsidRPr="0095554C">
        <w:rPr>
          <w:rFonts w:ascii="Times New Roman" w:hAnsi="Times New Roman" w:cs="Times New Roman"/>
          <w:color w:val="000000"/>
          <w:sz w:val="24"/>
          <w:szCs w:val="24"/>
        </w:rPr>
        <w:t xml:space="preserve"> radar</w:t>
      </w:r>
      <w:r w:rsidR="00BD23E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95554C">
        <w:rPr>
          <w:rFonts w:ascii="Times New Roman" w:hAnsi="Times New Roman" w:cs="Times New Roman"/>
          <w:color w:val="000000"/>
          <w:sz w:val="24"/>
          <w:szCs w:val="24"/>
        </w:rPr>
        <w:t xml:space="preserve"> v Charkově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vyšší koncentrace atomárního vodíku v horní atmosféře než v případě předchozích slunečních minim. Vlivem velice nízká geomagnetické aktivity</w:t>
      </w:r>
      <w:r w:rsidRPr="0095554C">
        <w:rPr>
          <w:rFonts w:ascii="Times New Roman" w:hAnsi="Times New Roman" w:cs="Times New Roman"/>
          <w:color w:val="000000"/>
          <w:sz w:val="24"/>
          <w:szCs w:val="24"/>
        </w:rPr>
        <w:t xml:space="preserve"> v letech 2006 až 2010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mohlo dojít ke globální redistribuci vodíku. Ze simulací </w:t>
      </w:r>
      <w:r w:rsidR="00BD23E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</w:t>
      </w:r>
      <w:r w:rsidR="00BD23E5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FLIP vyplývá, že vyšší koncentrace vodíku, která mohla nastat během posledního slunečního minima, může mít za následek až dvojnásobné zvýšení rychlosti plnění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plazmasféry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během posledního slunečního minima než v minimech předchozích.</w:t>
      </w:r>
      <w:r w:rsidR="00876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A28"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876A28" w:rsidRPr="00876A28" w:rsidRDefault="00876A28" w:rsidP="00876A2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Pokračovali jsme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 </w:t>
      </w:r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validaci dat elektronové teploty a koncentrace z </w:t>
      </w:r>
      <w:proofErr w:type="spellStart"/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>Langmuirovy</w:t>
      </w:r>
      <w:proofErr w:type="spellEnd"/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sondy na družicích  SWARM pomocí námi vyvinutého globálního modelu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elektronové teploty (TBT 2012)</w:t>
      </w:r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měření družice C/NOFS. Navrhli jsme korekční faktory pro oblast rovníku, kde data elektronové teploty družice SWARM systematicky nadhodnocují jak hodnoty modelu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tak hodnoty měření družice C/NOFS (a též hodnoty z měření ISR </w:t>
      </w:r>
      <w:proofErr w:type="spellStart"/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>Arecibo</w:t>
      </w:r>
      <w:proofErr w:type="spellEnd"/>
      <w:r w:rsidRPr="00876A28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876A28" w:rsidRPr="00876A28" w:rsidRDefault="00876A28" w:rsidP="00876A2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A28">
        <w:rPr>
          <w:rFonts w:ascii="Times New Roman" w:hAnsi="Times New Roman" w:cs="Times New Roman"/>
          <w:sz w:val="24"/>
          <w:szCs w:val="24"/>
        </w:rPr>
        <w:t xml:space="preserve">Pokračoval výzkum hraničních oblastí magnetosféry a mechanismu vzniku </w:t>
      </w:r>
      <w:proofErr w:type="spellStart"/>
      <w:r w:rsidRPr="00876A28">
        <w:rPr>
          <w:rFonts w:ascii="Times New Roman" w:hAnsi="Times New Roman" w:cs="Times New Roman"/>
          <w:sz w:val="24"/>
          <w:szCs w:val="24"/>
        </w:rPr>
        <w:t>subbouří</w:t>
      </w:r>
      <w:proofErr w:type="spellEnd"/>
      <w:r w:rsidRPr="00876A28">
        <w:rPr>
          <w:rFonts w:ascii="Times New Roman" w:hAnsi="Times New Roman" w:cs="Times New Roman"/>
          <w:sz w:val="24"/>
          <w:szCs w:val="24"/>
        </w:rPr>
        <w:t xml:space="preserve">. Na základě dat družic Themis jsme zkoumali dynamiku </w:t>
      </w:r>
      <w:proofErr w:type="spellStart"/>
      <w:r w:rsidRPr="00876A28">
        <w:rPr>
          <w:rFonts w:ascii="Times New Roman" w:hAnsi="Times New Roman" w:cs="Times New Roman"/>
          <w:sz w:val="24"/>
          <w:szCs w:val="24"/>
        </w:rPr>
        <w:t>magnetopauzy</w:t>
      </w:r>
      <w:proofErr w:type="spellEnd"/>
      <w:r w:rsidRPr="00876A28">
        <w:rPr>
          <w:rFonts w:ascii="Times New Roman" w:hAnsi="Times New Roman" w:cs="Times New Roman"/>
          <w:sz w:val="24"/>
          <w:szCs w:val="24"/>
        </w:rPr>
        <w:t xml:space="preserve"> a rázové vlny. Na základě dat téhož projektu jsme vytvořili databázi, kdy existují současná m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76A28">
        <w:rPr>
          <w:rFonts w:ascii="Times New Roman" w:hAnsi="Times New Roman" w:cs="Times New Roman"/>
          <w:sz w:val="24"/>
          <w:szCs w:val="24"/>
        </w:rPr>
        <w:t xml:space="preserve">ření ve chvostu magnetosféry, slunečním větru a pozemních dat z polárních oblastí za léta 2009 až 2015. Tato data pak budou sloužit k vlastnímu studiu mechanismu vzniku </w:t>
      </w:r>
      <w:proofErr w:type="spellStart"/>
      <w:r w:rsidRPr="00876A28">
        <w:rPr>
          <w:rFonts w:ascii="Times New Roman" w:hAnsi="Times New Roman" w:cs="Times New Roman"/>
          <w:sz w:val="24"/>
          <w:szCs w:val="24"/>
        </w:rPr>
        <w:t>subbouří</w:t>
      </w:r>
      <w:proofErr w:type="spellEnd"/>
      <w:r w:rsidRPr="00876A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F4A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647278" w:rsidRDefault="00647278" w:rsidP="00876A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prokázáno, že kritická frekvence sporadické vrstvy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ovlivněna geomagnetickou aktivitou na harmonických periodách sluneční rotace 13,5 a 9 dní, přičemž </w:t>
      </w:r>
      <w:proofErr w:type="spellStart"/>
      <w:r>
        <w:rPr>
          <w:rFonts w:ascii="Times New Roman" w:hAnsi="Times New Roman" w:cs="Times New Roman"/>
          <w:sz w:val="24"/>
          <w:szCs w:val="24"/>
        </w:rPr>
        <w:t>foEs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protifázi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geomagnetickou aktivitou. Kromě toho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jasně modulováno planetárními vlnami troposférického původu s periodami 5-7 dní a okolo 16 dní. </w:t>
      </w:r>
      <w:r w:rsidRPr="00647278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647278" w:rsidRDefault="00647278" w:rsidP="006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Ukázali jsme, že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 d</w:t>
      </w:r>
      <w:r>
        <w:rPr>
          <w:rFonts w:ascii="Times New Roman" w:hAnsi="Times New Roman" w:cs="Times New Roman"/>
          <w:iCs/>
          <w:sz w:val="24"/>
          <w:szCs w:val="24"/>
        </w:rPr>
        <w:t>louhé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 časových řad kritick</w:t>
      </w:r>
      <w:r>
        <w:rPr>
          <w:rFonts w:ascii="Times New Roman" w:hAnsi="Times New Roman" w:cs="Times New Roman"/>
          <w:iCs/>
          <w:sz w:val="24"/>
          <w:szCs w:val="24"/>
        </w:rPr>
        <w:t>ých frekvencí F2-vrstvy foF2 měřených na e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vropských stanicích jsou vysoce korelované, což odráží dominantní vliv sluneční aktivity na chod procesů v ionosféře. Časové řady jsou vysoce korelované nejen pro měřená data a střední chod, ale i pro fluktuace. Při překročení vzdálenosti 1000 km a/nebo </w:t>
      </w:r>
      <w:r w:rsidRPr="00B236E4">
        <w:rPr>
          <w:rFonts w:ascii="Times New Roman" w:hAnsi="Times New Roman" w:cs="Times New Roman"/>
          <w:iCs/>
          <w:sz w:val="24"/>
          <w:szCs w:val="24"/>
          <w:lang w:val="en-US"/>
        </w:rPr>
        <w:t>~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10° </w:t>
      </w:r>
      <w:r>
        <w:rPr>
          <w:rFonts w:ascii="Times New Roman" w:hAnsi="Times New Roman" w:cs="Times New Roman"/>
          <w:iCs/>
          <w:sz w:val="24"/>
          <w:szCs w:val="24"/>
        </w:rPr>
        <w:t>délkového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 rozdílu </w:t>
      </w:r>
      <w:r>
        <w:rPr>
          <w:rFonts w:ascii="Times New Roman" w:hAnsi="Times New Roman" w:cs="Times New Roman"/>
          <w:iCs/>
          <w:sz w:val="24"/>
          <w:szCs w:val="24"/>
        </w:rPr>
        <w:t>mezi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 stanic</w:t>
      </w:r>
      <w:r>
        <w:rPr>
          <w:rFonts w:ascii="Times New Roman" w:hAnsi="Times New Roman" w:cs="Times New Roman"/>
          <w:iCs/>
          <w:sz w:val="24"/>
          <w:szCs w:val="24"/>
        </w:rPr>
        <w:t>emi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 hodnoty korelačních koeficientů </w:t>
      </w:r>
      <w:r>
        <w:rPr>
          <w:rFonts w:ascii="Times New Roman" w:hAnsi="Times New Roman" w:cs="Times New Roman"/>
          <w:iCs/>
          <w:sz w:val="24"/>
          <w:szCs w:val="24"/>
        </w:rPr>
        <w:t xml:space="preserve">fluktuací </w:t>
      </w:r>
      <w:r w:rsidRPr="00B236E4">
        <w:rPr>
          <w:rFonts w:ascii="Times New Roman" w:hAnsi="Times New Roman" w:cs="Times New Roman"/>
          <w:iCs/>
          <w:sz w:val="24"/>
          <w:szCs w:val="24"/>
        </w:rPr>
        <w:t xml:space="preserve">začnou rychle klesat. Za možný zdroj ovlivňující ionosféru na škále </w:t>
      </w:r>
      <w:r w:rsidRPr="00B236E4">
        <w:rPr>
          <w:rFonts w:ascii="Times New Roman" w:hAnsi="Times New Roman" w:cs="Times New Roman"/>
          <w:sz w:val="24"/>
          <w:szCs w:val="24"/>
        </w:rPr>
        <w:t xml:space="preserve">1000 km/10° považujeme troposférické meteorologické systémy, které jsou zdrojem atmosférických vln v širokém spektru period. </w:t>
      </w:r>
      <w:r w:rsidRPr="00647278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CA0C92" w:rsidRPr="00647278" w:rsidRDefault="00647278" w:rsidP="0064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intervalu výšek 50-0,1 hPa (</w:t>
      </w:r>
      <w:r>
        <w:rPr>
          <w:rFonts w:ascii="Times New Roman" w:hAnsi="Times New Roman" w:cs="Times New Roman"/>
          <w:sz w:val="24"/>
          <w:szCs w:val="24"/>
          <w:lang w:val="en-US"/>
        </w:rPr>
        <w:t>~</w:t>
      </w:r>
      <w:r>
        <w:rPr>
          <w:rFonts w:ascii="Times New Roman" w:hAnsi="Times New Roman" w:cs="Times New Roman"/>
          <w:sz w:val="24"/>
          <w:szCs w:val="24"/>
        </w:rPr>
        <w:t>25-65 km) na šířkách nad 40-45</w:t>
      </w:r>
      <w:r w:rsidRPr="001226C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byla prokázána existence výrazné délkové variace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meridionálního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větru ve formě existence dvou jader zesíleného, ale opačného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meridionálního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větru, která se vyskytují před a za blokující Aleutskou tlakovou výší. Tato výše rovněž narušuje pole zonálního větru, teploty a do jisté míry i ozónu. Na hladině 10 hPa mají cirkulační jádra významný dopad na dlouhodobé trendy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meridionálního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větru, které jsou výrazné a statisticky významné jen v sektorech s jádry. Tyto trendy mění své znaménko v polovině </w:t>
      </w:r>
      <w:proofErr w:type="gramStart"/>
      <w:r>
        <w:rPr>
          <w:rFonts w:ascii="Times New Roman" w:hAnsi="Times New Roman" w:cs="Times New Roman"/>
          <w:sz w:val="24"/>
          <w:szCs w:val="24"/>
        </w:rPr>
        <w:t>90-tých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současně s otočením trendu ozónu ve středních šířkách severní polokoule. </w:t>
      </w:r>
      <w:r w:rsidRPr="00647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C92" w:rsidRPr="00647278">
        <w:rPr>
          <w:rFonts w:ascii="Times New Roman" w:hAnsi="Times New Roman" w:cs="Times New Roman"/>
          <w:color w:val="000000"/>
          <w:sz w:val="24"/>
          <w:szCs w:val="24"/>
        </w:rPr>
        <w:t>(ÚFA AVČR)</w:t>
      </w:r>
    </w:p>
    <w:p w:rsidR="00CA0C92" w:rsidRPr="00AC756E" w:rsidRDefault="00CA0C92" w:rsidP="0064727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5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C756E" w:rsidRPr="00AC756E">
        <w:rPr>
          <w:rFonts w:ascii="Times New Roman" w:hAnsi="Times New Roman" w:cs="Times New Roman"/>
          <w:color w:val="000000"/>
          <w:sz w:val="24"/>
          <w:szCs w:val="24"/>
        </w:rPr>
        <w:t>Námi vedená a nainstalovaná síť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ionosférických Dopplerovských systémů v ČR, Jižní Africe</w:t>
      </w:r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Hermanus</w:t>
      </w:r>
      <w:proofErr w:type="spellEnd"/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Argentině </w:t>
      </w:r>
      <w:r w:rsidR="00815500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="00815500">
        <w:rPr>
          <w:rFonts w:ascii="Times New Roman" w:hAnsi="Times New Roman" w:cs="Times New Roman"/>
          <w:bCs/>
          <w:color w:val="000000"/>
          <w:sz w:val="24"/>
          <w:szCs w:val="24"/>
        </w:rPr>
        <w:t>Tucumán</w:t>
      </w:r>
      <w:proofErr w:type="spellEnd"/>
      <w:r w:rsidR="008155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a na </w:t>
      </w:r>
      <w:proofErr w:type="spellStart"/>
      <w:r w:rsidR="00815500">
        <w:rPr>
          <w:rFonts w:ascii="Times New Roman" w:hAnsi="Times New Roman" w:cs="Times New Roman"/>
          <w:bCs/>
          <w:color w:val="000000"/>
          <w:sz w:val="24"/>
          <w:szCs w:val="24"/>
        </w:rPr>
        <w:t>Tajw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anu</w:t>
      </w:r>
      <w:proofErr w:type="spellEnd"/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byla rozšířena o další instalaci v </w:t>
      </w:r>
      <w:proofErr w:type="spellStart"/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Louisville</w:t>
      </w:r>
      <w:proofErr w:type="spellEnd"/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 severní části Jižní Afriky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. (ÚFA AVČR)</w:t>
      </w:r>
    </w:p>
    <w:p w:rsidR="00CA0C92" w:rsidRPr="00AC756E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56E">
        <w:rPr>
          <w:rFonts w:ascii="Times New Roman" w:hAnsi="Times New Roman" w:cs="Times New Roman"/>
          <w:sz w:val="24"/>
          <w:szCs w:val="24"/>
        </w:rPr>
        <w:lastRenderedPageBreak/>
        <w:t xml:space="preserve">     Kontinuální Dopplerovské sondování by</w:t>
      </w:r>
      <w:r w:rsidR="00D84DC7" w:rsidRPr="00AC756E">
        <w:rPr>
          <w:rFonts w:ascii="Times New Roman" w:hAnsi="Times New Roman" w:cs="Times New Roman"/>
          <w:sz w:val="24"/>
          <w:szCs w:val="24"/>
        </w:rPr>
        <w:t xml:space="preserve">lo použito pro výzkum </w:t>
      </w:r>
      <w:r w:rsidR="00AC756E" w:rsidRPr="00AC756E">
        <w:rPr>
          <w:rFonts w:ascii="Times New Roman" w:hAnsi="Times New Roman" w:cs="Times New Roman"/>
          <w:sz w:val="24"/>
          <w:szCs w:val="24"/>
        </w:rPr>
        <w:t>jevu</w:t>
      </w:r>
      <w:r w:rsidRPr="00AC756E">
        <w:rPr>
          <w:rFonts w:ascii="Times New Roman" w:hAnsi="Times New Roman" w:cs="Times New Roman"/>
          <w:sz w:val="24"/>
          <w:szCs w:val="24"/>
        </w:rPr>
        <w:t xml:space="preserve"> </w:t>
      </w:r>
      <w:r w:rsidR="00AC756E" w:rsidRPr="00AC756E">
        <w:rPr>
          <w:rFonts w:ascii="Times New Roman" w:hAnsi="Times New Roman" w:cs="Times New Roman"/>
          <w:sz w:val="24"/>
          <w:szCs w:val="24"/>
        </w:rPr>
        <w:t xml:space="preserve">ekvatoriálního </w:t>
      </w:r>
      <w:proofErr w:type="spellStart"/>
      <w:r w:rsidRPr="00AC756E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AC756E">
        <w:rPr>
          <w:rFonts w:ascii="Times New Roman" w:hAnsi="Times New Roman" w:cs="Times New Roman"/>
          <w:sz w:val="24"/>
          <w:szCs w:val="24"/>
        </w:rPr>
        <w:t xml:space="preserve"> F</w:t>
      </w:r>
      <w:r w:rsidR="00AC756E" w:rsidRPr="00AC756E">
        <w:rPr>
          <w:rFonts w:ascii="Times New Roman" w:hAnsi="Times New Roman" w:cs="Times New Roman"/>
          <w:sz w:val="24"/>
          <w:szCs w:val="24"/>
        </w:rPr>
        <w:t xml:space="preserve"> a jeho šíření</w:t>
      </w:r>
      <w:r w:rsidRPr="00AC756E">
        <w:rPr>
          <w:rFonts w:ascii="Times New Roman" w:hAnsi="Times New Roman" w:cs="Times New Roman"/>
          <w:sz w:val="24"/>
          <w:szCs w:val="24"/>
        </w:rPr>
        <w:t xml:space="preserve"> v ionos</w:t>
      </w:r>
      <w:r w:rsidR="00D84DC7" w:rsidRPr="00AC756E">
        <w:rPr>
          <w:rFonts w:ascii="Times New Roman" w:hAnsi="Times New Roman" w:cs="Times New Roman"/>
          <w:sz w:val="24"/>
          <w:szCs w:val="24"/>
        </w:rPr>
        <w:t xml:space="preserve">féře nízkých šířek nad </w:t>
      </w:r>
      <w:proofErr w:type="spellStart"/>
      <w:r w:rsidR="00D84DC7" w:rsidRPr="00AC756E">
        <w:rPr>
          <w:rFonts w:ascii="Times New Roman" w:hAnsi="Times New Roman" w:cs="Times New Roman"/>
          <w:sz w:val="24"/>
          <w:szCs w:val="24"/>
        </w:rPr>
        <w:t>Tucumán</w:t>
      </w:r>
      <w:proofErr w:type="spellEnd"/>
      <w:r w:rsidRPr="00AC756E">
        <w:rPr>
          <w:rFonts w:ascii="Times New Roman" w:hAnsi="Times New Roman" w:cs="Times New Roman"/>
          <w:sz w:val="24"/>
          <w:szCs w:val="24"/>
        </w:rPr>
        <w:t>, Argentina</w:t>
      </w:r>
      <w:r w:rsidR="00AC756E" w:rsidRPr="00AC756E">
        <w:rPr>
          <w:rFonts w:ascii="Times New Roman" w:hAnsi="Times New Roman" w:cs="Times New Roman"/>
          <w:sz w:val="24"/>
          <w:szCs w:val="24"/>
        </w:rPr>
        <w:t xml:space="preserve"> a na </w:t>
      </w:r>
      <w:proofErr w:type="spellStart"/>
      <w:r w:rsidR="00AC756E" w:rsidRPr="00AC756E">
        <w:rPr>
          <w:rFonts w:ascii="Times New Roman" w:hAnsi="Times New Roman" w:cs="Times New Roman"/>
          <w:sz w:val="24"/>
          <w:szCs w:val="24"/>
        </w:rPr>
        <w:t>Tajwanu</w:t>
      </w:r>
      <w:proofErr w:type="spellEnd"/>
      <w:r w:rsidRPr="00AC75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56E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AC756E">
        <w:rPr>
          <w:rFonts w:ascii="Times New Roman" w:hAnsi="Times New Roman" w:cs="Times New Roman"/>
          <w:sz w:val="24"/>
          <w:szCs w:val="24"/>
        </w:rPr>
        <w:t xml:space="preserve"> F struktury se šíří zhruba na východ rychlostmi přibližně 70 až 180 m/s </w:t>
      </w:r>
      <w:r w:rsidR="00AC756E" w:rsidRPr="00AC756E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AC756E" w:rsidRPr="00AC756E">
        <w:rPr>
          <w:rFonts w:ascii="Times New Roman" w:hAnsi="Times New Roman" w:cs="Times New Roman"/>
          <w:sz w:val="24"/>
          <w:szCs w:val="24"/>
        </w:rPr>
        <w:t>Tucumán</w:t>
      </w:r>
      <w:proofErr w:type="spellEnd"/>
      <w:r w:rsidR="00AC756E" w:rsidRPr="00AC756E">
        <w:rPr>
          <w:rFonts w:ascii="Times New Roman" w:hAnsi="Times New Roman" w:cs="Times New Roman"/>
          <w:sz w:val="24"/>
          <w:szCs w:val="24"/>
        </w:rPr>
        <w:t xml:space="preserve"> a o něco méně nad </w:t>
      </w:r>
      <w:proofErr w:type="spellStart"/>
      <w:r w:rsidR="00AC756E" w:rsidRPr="00AC756E">
        <w:rPr>
          <w:rFonts w:ascii="Times New Roman" w:hAnsi="Times New Roman" w:cs="Times New Roman"/>
          <w:sz w:val="24"/>
          <w:szCs w:val="24"/>
        </w:rPr>
        <w:t>Tajwanem</w:t>
      </w:r>
      <w:proofErr w:type="spellEnd"/>
      <w:r w:rsidR="00AC756E" w:rsidRPr="00AC756E">
        <w:rPr>
          <w:rFonts w:ascii="Times New Roman" w:hAnsi="Times New Roman" w:cs="Times New Roman"/>
          <w:sz w:val="24"/>
          <w:szCs w:val="24"/>
        </w:rPr>
        <w:t xml:space="preserve"> </w:t>
      </w:r>
      <w:r w:rsidRPr="00AC756E">
        <w:rPr>
          <w:rFonts w:ascii="Times New Roman" w:hAnsi="Times New Roman" w:cs="Times New Roman"/>
          <w:sz w:val="24"/>
          <w:szCs w:val="24"/>
        </w:rPr>
        <w:t>a byly pozorovány v noci od září do března</w:t>
      </w:r>
      <w:r w:rsidR="00AC756E" w:rsidRPr="00AC756E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AC756E" w:rsidRPr="00AC756E">
        <w:rPr>
          <w:rFonts w:ascii="Times New Roman" w:hAnsi="Times New Roman" w:cs="Times New Roman"/>
          <w:sz w:val="24"/>
          <w:szCs w:val="24"/>
        </w:rPr>
        <w:t>Tucumánu</w:t>
      </w:r>
      <w:proofErr w:type="spellEnd"/>
      <w:r w:rsidR="00AC756E" w:rsidRPr="00AC756E">
        <w:rPr>
          <w:rFonts w:ascii="Times New Roman" w:hAnsi="Times New Roman" w:cs="Times New Roman"/>
          <w:sz w:val="24"/>
          <w:szCs w:val="24"/>
        </w:rPr>
        <w:t xml:space="preserve"> a hlavně v rovnodennostech nad </w:t>
      </w:r>
      <w:proofErr w:type="spellStart"/>
      <w:r w:rsidR="00AC756E" w:rsidRPr="00AC756E">
        <w:rPr>
          <w:rFonts w:ascii="Times New Roman" w:hAnsi="Times New Roman" w:cs="Times New Roman"/>
          <w:sz w:val="24"/>
          <w:szCs w:val="24"/>
        </w:rPr>
        <w:t>Tajwanem</w:t>
      </w:r>
      <w:proofErr w:type="spellEnd"/>
      <w:r w:rsidRPr="00AC756E">
        <w:rPr>
          <w:rFonts w:ascii="Times New Roman" w:hAnsi="Times New Roman" w:cs="Times New Roman"/>
          <w:sz w:val="24"/>
          <w:szCs w:val="24"/>
        </w:rPr>
        <w:t>.</w:t>
      </w:r>
      <w:r w:rsidR="00AC756E" w:rsidRPr="00AC756E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AC756E" w:rsidRPr="00AC756E">
        <w:rPr>
          <w:rFonts w:ascii="Times New Roman" w:hAnsi="Times New Roman" w:cs="Times New Roman"/>
          <w:sz w:val="24"/>
          <w:szCs w:val="24"/>
        </w:rPr>
        <w:t>Tucumánu</w:t>
      </w:r>
      <w:proofErr w:type="spellEnd"/>
      <w:r w:rsidR="00AC756E" w:rsidRPr="00AC756E">
        <w:rPr>
          <w:rFonts w:ascii="Times New Roman" w:hAnsi="Times New Roman" w:cs="Times New Roman"/>
          <w:sz w:val="24"/>
          <w:szCs w:val="24"/>
        </w:rPr>
        <w:t xml:space="preserve"> je četnost jevu </w:t>
      </w:r>
      <w:proofErr w:type="spellStart"/>
      <w:r w:rsidR="00AC756E" w:rsidRPr="00AC756E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="00AC756E" w:rsidRPr="00AC756E">
        <w:rPr>
          <w:rFonts w:ascii="Times New Roman" w:hAnsi="Times New Roman" w:cs="Times New Roman"/>
          <w:sz w:val="24"/>
          <w:szCs w:val="24"/>
        </w:rPr>
        <w:t>-F téměř čtyřikrát vyšší n</w:t>
      </w:r>
      <w:r w:rsidR="00815500">
        <w:rPr>
          <w:rFonts w:ascii="Times New Roman" w:hAnsi="Times New Roman" w:cs="Times New Roman"/>
          <w:sz w:val="24"/>
          <w:szCs w:val="24"/>
        </w:rPr>
        <w:t xml:space="preserve">ež nad </w:t>
      </w:r>
      <w:proofErr w:type="spellStart"/>
      <w:r w:rsidR="00815500">
        <w:rPr>
          <w:rFonts w:ascii="Times New Roman" w:hAnsi="Times New Roman" w:cs="Times New Roman"/>
          <w:sz w:val="24"/>
          <w:szCs w:val="24"/>
        </w:rPr>
        <w:t>Tajwanem</w:t>
      </w:r>
      <w:proofErr w:type="spellEnd"/>
      <w:r w:rsidR="00815500">
        <w:rPr>
          <w:rFonts w:ascii="Times New Roman" w:hAnsi="Times New Roman" w:cs="Times New Roman"/>
          <w:sz w:val="24"/>
          <w:szCs w:val="24"/>
        </w:rPr>
        <w:t>, což souvisí mimo jiné</w:t>
      </w:r>
      <w:r w:rsidR="00AC756E" w:rsidRPr="00AC756E">
        <w:rPr>
          <w:rFonts w:ascii="Times New Roman" w:hAnsi="Times New Roman" w:cs="Times New Roman"/>
          <w:sz w:val="24"/>
          <w:szCs w:val="24"/>
        </w:rPr>
        <w:t xml:space="preserve"> s konfigurací magnetického pole Země.</w:t>
      </w:r>
      <w:r w:rsidRPr="00AC756E">
        <w:rPr>
          <w:rFonts w:ascii="Times New Roman" w:hAnsi="Times New Roman" w:cs="Times New Roman"/>
          <w:sz w:val="24"/>
          <w:szCs w:val="24"/>
        </w:rPr>
        <w:t xml:space="preserve"> 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(ÚFA AVČR)</w:t>
      </w:r>
    </w:p>
    <w:p w:rsidR="00CA0C92" w:rsidRPr="00AC756E" w:rsidRDefault="00CA0C92" w:rsidP="00CA0C92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ÚFA provozuje 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Regional Warning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Center Prague patřící pod International 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Space Environment Service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celosvětová služba. ÚFA rovněž </w:t>
      </w:r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provozuje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mirror site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celosvětové databáze měření </w:t>
      </w:r>
      <w:proofErr w:type="spellStart"/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digisond</w:t>
      </w:r>
      <w:proofErr w:type="spellEnd"/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756E"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GIRO</w:t>
      </w:r>
      <w:r w:rsidRPr="00AC756E">
        <w:rPr>
          <w:rFonts w:ascii="Times New Roman" w:hAnsi="Times New Roman" w:cs="Times New Roman"/>
          <w:bCs/>
          <w:color w:val="000000"/>
          <w:sz w:val="24"/>
          <w:szCs w:val="24"/>
        </w:rPr>
        <w:t>. (ÚFA AVČR)</w:t>
      </w:r>
    </w:p>
    <w:p w:rsidR="00D84DC7" w:rsidRPr="004E1479" w:rsidRDefault="00D84DC7" w:rsidP="00CA0C92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4DC7" w:rsidRPr="00CA0C92" w:rsidRDefault="00584A95" w:rsidP="00CA0C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584A95">
        <w:rPr>
          <w:rFonts w:ascii="Times New Roman" w:hAnsi="Times New Roman" w:cs="Times New Roman"/>
          <w:bCs/>
          <w:color w:val="000000"/>
          <w:sz w:val="24"/>
          <w:szCs w:val="24"/>
        </w:rPr>
        <w:t>8.1.2016</w:t>
      </w:r>
      <w:proofErr w:type="gramEnd"/>
      <w:r w:rsidR="00AC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84DC7" w:rsidRPr="00CA0C92" w:rsidRDefault="00D84DC7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CA0C92" w:rsidRPr="00CA0C92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CA0C92" w:rsidRPr="00CA0C92" w:rsidRDefault="00CA0C92" w:rsidP="00CA0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92" w:rsidRPr="00CA0C92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RNDr. Jan Laštovička, </w:t>
      </w:r>
      <w:proofErr w:type="spellStart"/>
      <w:r w:rsidRPr="00CA0C92">
        <w:rPr>
          <w:rFonts w:ascii="Times New Roman" w:hAnsi="Times New Roman" w:cs="Times New Roman"/>
          <w:sz w:val="24"/>
          <w:szCs w:val="24"/>
        </w:rPr>
        <w:t>DrSc</w:t>
      </w:r>
      <w:proofErr w:type="spellEnd"/>
    </w:p>
    <w:p w:rsidR="00CA0C92" w:rsidRPr="00CA0C92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předseda NK COSPAR</w:t>
      </w:r>
    </w:p>
    <w:p w:rsidR="00CA0C92" w:rsidRPr="00CA0C92" w:rsidRDefault="00CA0C92" w:rsidP="00CA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jla@ufa.cas.cz</w:t>
      </w:r>
    </w:p>
    <w:p w:rsidR="00CA0C92" w:rsidRPr="00CA0C92" w:rsidRDefault="00CA0C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0C92" w:rsidRPr="00CA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14" w:rsidRDefault="009B0414" w:rsidP="00DC339D">
      <w:pPr>
        <w:spacing w:after="0" w:line="240" w:lineRule="auto"/>
      </w:pPr>
      <w:r>
        <w:separator/>
      </w:r>
    </w:p>
  </w:endnote>
  <w:endnote w:type="continuationSeparator" w:id="0">
    <w:p w:rsidR="009B0414" w:rsidRDefault="009B0414" w:rsidP="00DC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14" w:rsidRDefault="009B0414" w:rsidP="00DC339D">
      <w:pPr>
        <w:spacing w:after="0" w:line="240" w:lineRule="auto"/>
      </w:pPr>
      <w:r>
        <w:separator/>
      </w:r>
    </w:p>
  </w:footnote>
  <w:footnote w:type="continuationSeparator" w:id="0">
    <w:p w:rsidR="009B0414" w:rsidRDefault="009B0414" w:rsidP="00DC339D">
      <w:pPr>
        <w:spacing w:after="0" w:line="240" w:lineRule="auto"/>
      </w:pPr>
      <w:r>
        <w:continuationSeparator/>
      </w:r>
    </w:p>
  </w:footnote>
  <w:footnote w:id="1">
    <w:p w:rsidR="00DC339D" w:rsidRDefault="00DC33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451D8C">
          <w:rPr>
            <w:rStyle w:val="Hypertextovodkaz"/>
          </w:rPr>
          <w:t>http://data.zho.avcr.cz/cs_narodni_komitety/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F4"/>
    <w:rsid w:val="00014D89"/>
    <w:rsid w:val="00032084"/>
    <w:rsid w:val="00094D4D"/>
    <w:rsid w:val="000F6E4D"/>
    <w:rsid w:val="001361DA"/>
    <w:rsid w:val="001C07EC"/>
    <w:rsid w:val="00201AA2"/>
    <w:rsid w:val="002048D1"/>
    <w:rsid w:val="002A67B9"/>
    <w:rsid w:val="002B08AC"/>
    <w:rsid w:val="002F412D"/>
    <w:rsid w:val="00356CE1"/>
    <w:rsid w:val="003C1385"/>
    <w:rsid w:val="00410A19"/>
    <w:rsid w:val="00424AE1"/>
    <w:rsid w:val="004D5F36"/>
    <w:rsid w:val="004E1479"/>
    <w:rsid w:val="005650D3"/>
    <w:rsid w:val="00584A95"/>
    <w:rsid w:val="005927BF"/>
    <w:rsid w:val="005D4F4A"/>
    <w:rsid w:val="0060753A"/>
    <w:rsid w:val="00647278"/>
    <w:rsid w:val="006B30F4"/>
    <w:rsid w:val="007D6C0D"/>
    <w:rsid w:val="00815500"/>
    <w:rsid w:val="00876A28"/>
    <w:rsid w:val="008F47AE"/>
    <w:rsid w:val="008F56E9"/>
    <w:rsid w:val="009B0414"/>
    <w:rsid w:val="00A0584C"/>
    <w:rsid w:val="00A62F70"/>
    <w:rsid w:val="00AA23FA"/>
    <w:rsid w:val="00AC756E"/>
    <w:rsid w:val="00BD23E5"/>
    <w:rsid w:val="00BF1F18"/>
    <w:rsid w:val="00C44E67"/>
    <w:rsid w:val="00CA0C92"/>
    <w:rsid w:val="00CC384D"/>
    <w:rsid w:val="00D07913"/>
    <w:rsid w:val="00D544B8"/>
    <w:rsid w:val="00D84DC7"/>
    <w:rsid w:val="00DC339D"/>
    <w:rsid w:val="00E31660"/>
    <w:rsid w:val="00E543E4"/>
    <w:rsid w:val="00EA4B6B"/>
    <w:rsid w:val="00ED47E9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30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0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339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339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339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339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3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3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39D"/>
    <w:rPr>
      <w:vertAlign w:val="superscript"/>
    </w:rPr>
  </w:style>
  <w:style w:type="paragraph" w:customStyle="1" w:styleId="Nadpis">
    <w:name w:val="Nadpis"/>
    <w:basedOn w:val="Normln"/>
    <w:next w:val="Zkladntext"/>
    <w:rsid w:val="00CA0C92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CA0C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CA0C92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FormtovanvHTML">
    <w:name w:val="HTML Preformatted"/>
    <w:basedOn w:val="Normln"/>
    <w:link w:val="FormtovanvHTMLChar"/>
    <w:uiPriority w:val="99"/>
    <w:rsid w:val="00CA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0C92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Normln"/>
    <w:rsid w:val="00CA0C9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A0C9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30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0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339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339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339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339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3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3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39D"/>
    <w:rPr>
      <w:vertAlign w:val="superscript"/>
    </w:rPr>
  </w:style>
  <w:style w:type="paragraph" w:customStyle="1" w:styleId="Nadpis">
    <w:name w:val="Nadpis"/>
    <w:basedOn w:val="Normln"/>
    <w:next w:val="Zkladntext"/>
    <w:rsid w:val="00CA0C92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CA0C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CA0C92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FormtovanvHTML">
    <w:name w:val="HTML Preformatted"/>
    <w:basedOn w:val="Normln"/>
    <w:link w:val="FormtovanvHTMLChar"/>
    <w:uiPriority w:val="99"/>
    <w:rsid w:val="00CA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0C92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Normln"/>
    <w:rsid w:val="00CA0C9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A0C9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.cas.cz/odkazy/cospa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.zho.avcr.cz/cs_narodni_komitet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4F51C-9C0E-4499-861C-2443787E5E02}"/>
      </w:docPartPr>
      <w:docPartBody>
        <w:p w:rsidR="002918ED" w:rsidRDefault="00A7138E">
          <w:r w:rsidRPr="00451D8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E"/>
    <w:rsid w:val="00056D00"/>
    <w:rsid w:val="002918ED"/>
    <w:rsid w:val="00360BFB"/>
    <w:rsid w:val="0058084F"/>
    <w:rsid w:val="005C260F"/>
    <w:rsid w:val="00860279"/>
    <w:rsid w:val="0099204B"/>
    <w:rsid w:val="00A33010"/>
    <w:rsid w:val="00A7138E"/>
    <w:rsid w:val="00B541ED"/>
    <w:rsid w:val="00C74AE4"/>
    <w:rsid w:val="00E150CD"/>
    <w:rsid w:val="00E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38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3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2907-F72D-4831-AF33-3E5DD35A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3173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Hulova Miluse</dc:creator>
  <cp:lastModifiedBy>jla</cp:lastModifiedBy>
  <cp:revision>11</cp:revision>
  <cp:lastPrinted>2016-01-15T13:48:00Z</cp:lastPrinted>
  <dcterms:created xsi:type="dcterms:W3CDTF">2015-12-23T11:58:00Z</dcterms:created>
  <dcterms:modified xsi:type="dcterms:W3CDTF">2016-01-15T13:59:00Z</dcterms:modified>
</cp:coreProperties>
</file>