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38" w:rsidRPr="00511B15" w:rsidRDefault="006472A2" w:rsidP="00B531D4">
      <w:pPr>
        <w:widowControl w:val="0"/>
        <w:suppressAutoHyphens/>
        <w:autoSpaceDE w:val="0"/>
        <w:autoSpaceDN w:val="0"/>
        <w:adjustRightInd w:val="0"/>
        <w:spacing w:before="120" w:after="120"/>
        <w:jc w:val="center"/>
        <w:outlineLvl w:val="0"/>
        <w:rPr>
          <w:rFonts w:cs="Arial"/>
          <w:noProof/>
          <w:szCs w:val="20"/>
          <w:lang w:val="cs-CZ"/>
        </w:rPr>
      </w:pPr>
      <w:bookmarkStart w:id="0" w:name="_GoBack"/>
      <w:bookmarkEnd w:id="0"/>
      <w:r w:rsidRPr="00511B15">
        <w:rPr>
          <w:rFonts w:cs="Arial"/>
          <w:noProof/>
          <w:szCs w:val="20"/>
          <w:lang w:val="cs-CZ"/>
        </w:rPr>
        <w:t>TISKOVÁ ZPRÁVA</w:t>
      </w:r>
      <w:r w:rsidR="007A304C" w:rsidRPr="00511B15">
        <w:rPr>
          <w:rFonts w:cs="Arial"/>
          <w:noProof/>
          <w:szCs w:val="20"/>
          <w:lang w:val="cs-CZ"/>
        </w:rPr>
        <w:br/>
      </w:r>
    </w:p>
    <w:p w:rsidR="00B94938" w:rsidRPr="00511B15" w:rsidRDefault="00BD533A" w:rsidP="00B531D4">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BD533A">
        <w:rPr>
          <w:rFonts w:cs="Arial"/>
          <w:b/>
          <w:bCs/>
          <w:iCs/>
          <w:color w:val="002060"/>
          <w:kern w:val="56"/>
          <w:sz w:val="36"/>
          <w:szCs w:val="36"/>
          <w:lang w:val="cs-CZ"/>
        </w:rPr>
        <w:t>Molekulární světlem a teplem poháněné spínače fungují i při uspořádání do dvourozměrné vrstvy</w:t>
      </w:r>
    </w:p>
    <w:p w:rsidR="007B411C" w:rsidRPr="00511B15" w:rsidRDefault="00E72B02" w:rsidP="00B531D4">
      <w:pPr>
        <w:pStyle w:val="Standard"/>
        <w:widowControl w:val="0"/>
        <w:suppressAutoHyphens w:val="0"/>
        <w:spacing w:before="120" w:after="120"/>
        <w:jc w:val="both"/>
        <w:rPr>
          <w:rFonts w:cs="Arial"/>
          <w:b/>
          <w:iCs/>
          <w:szCs w:val="20"/>
          <w:highlight w:val="yellow"/>
          <w:lang w:val="cs-CZ"/>
        </w:rPr>
      </w:pPr>
      <w:r>
        <w:rPr>
          <w:rFonts w:cs="Arial"/>
          <w:iCs/>
          <w:noProof/>
          <w:szCs w:val="20"/>
          <w:lang w:val="cs-CZ" w:eastAsia="cs-CZ"/>
        </w:rPr>
        <w:drawing>
          <wp:anchor distT="0" distB="0" distL="114300" distR="114300" simplePos="0" relativeHeight="251658240" behindDoc="1" locked="0" layoutInCell="1" allowOverlap="1">
            <wp:simplePos x="0" y="0"/>
            <wp:positionH relativeFrom="column">
              <wp:posOffset>3973195</wp:posOffset>
            </wp:positionH>
            <wp:positionV relativeFrom="paragraph">
              <wp:posOffset>1063312</wp:posOffset>
            </wp:positionV>
            <wp:extent cx="1755775" cy="4001770"/>
            <wp:effectExtent l="0" t="0" r="0" b="0"/>
            <wp:wrapThrough wrapText="bothSides">
              <wp:wrapPolygon edited="0">
                <wp:start x="0" y="0"/>
                <wp:lineTo x="0" y="21490"/>
                <wp:lineTo x="21327" y="21490"/>
                <wp:lineTo x="21327"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tical_white.jpg"/>
                    <pic:cNvPicPr/>
                  </pic:nvPicPr>
                  <pic:blipFill rotWithShape="1">
                    <a:blip r:embed="rId7" cstate="print">
                      <a:extLst>
                        <a:ext uri="{28A0092B-C50C-407E-A947-70E740481C1C}">
                          <a14:useLocalDpi xmlns:a14="http://schemas.microsoft.com/office/drawing/2010/main" val="0"/>
                        </a:ext>
                      </a:extLst>
                    </a:blip>
                    <a:srcRect t="4042" b="2174"/>
                    <a:stretch/>
                  </pic:blipFill>
                  <pic:spPr bwMode="auto">
                    <a:xfrm>
                      <a:off x="0" y="0"/>
                      <a:ext cx="1755775" cy="400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304C" w:rsidRPr="00511B15">
        <w:rPr>
          <w:rFonts w:cs="Arial"/>
          <w:iCs/>
          <w:szCs w:val="20"/>
          <w:lang w:val="cs-CZ"/>
        </w:rPr>
        <w:br/>
      </w:r>
      <w:r w:rsidR="00BD533A" w:rsidRPr="00BD533A">
        <w:rPr>
          <w:rFonts w:cs="Arial"/>
          <w:b/>
          <w:i/>
          <w:iCs/>
          <w:szCs w:val="20"/>
          <w:lang w:val="cs-CZ"/>
        </w:rPr>
        <w:t>Praha, 13. května 2020</w:t>
      </w:r>
      <w:r w:rsidR="00BD533A" w:rsidRPr="00BD533A">
        <w:rPr>
          <w:rFonts w:cs="Arial"/>
          <w:b/>
          <w:iCs/>
          <w:szCs w:val="20"/>
          <w:lang w:val="cs-CZ"/>
        </w:rPr>
        <w:t xml:space="preserve"> – Vědcům pod vedením Jiřího Kalety z Ústavu organické chemie a biochemie AV ČR se podařilo připravit na povrchu pevného nosiče pravidelnou dvourozměrnou vrstvu tvořenou z molekulárních spínačů. Zároveň se jim díky izotopovému značení molekul podařilo ověřit, že takovéto uspořádání do jedné vrstvy nebrání jednotlivým molekulám v přepínání světelným či tepelným zářením. Svůj objev vědci publikovali v prestižním odborném časopisu </w:t>
      </w:r>
      <w:proofErr w:type="spellStart"/>
      <w:r w:rsidR="00BD533A" w:rsidRPr="00BD533A">
        <w:rPr>
          <w:rFonts w:cs="Arial"/>
          <w:b/>
          <w:i/>
          <w:iCs/>
          <w:szCs w:val="20"/>
          <w:lang w:val="cs-CZ"/>
        </w:rPr>
        <w:t>Journal</w:t>
      </w:r>
      <w:proofErr w:type="spellEnd"/>
      <w:r w:rsidR="00BD533A" w:rsidRPr="00BD533A">
        <w:rPr>
          <w:rFonts w:cs="Arial"/>
          <w:b/>
          <w:i/>
          <w:iCs/>
          <w:szCs w:val="20"/>
          <w:lang w:val="cs-CZ"/>
        </w:rPr>
        <w:t xml:space="preserve"> </w:t>
      </w:r>
      <w:proofErr w:type="spellStart"/>
      <w:r w:rsidR="00BD533A" w:rsidRPr="00BD533A">
        <w:rPr>
          <w:rFonts w:cs="Arial"/>
          <w:b/>
          <w:i/>
          <w:iCs/>
          <w:szCs w:val="20"/>
          <w:lang w:val="cs-CZ"/>
        </w:rPr>
        <w:t>of</w:t>
      </w:r>
      <w:proofErr w:type="spellEnd"/>
      <w:r w:rsidR="00BD533A" w:rsidRPr="00BD533A">
        <w:rPr>
          <w:rFonts w:cs="Arial"/>
          <w:b/>
          <w:i/>
          <w:iCs/>
          <w:szCs w:val="20"/>
          <w:lang w:val="cs-CZ"/>
        </w:rPr>
        <w:t xml:space="preserve"> </w:t>
      </w:r>
      <w:proofErr w:type="spellStart"/>
      <w:r w:rsidR="00BD533A" w:rsidRPr="00BD533A">
        <w:rPr>
          <w:rFonts w:cs="Arial"/>
          <w:b/>
          <w:i/>
          <w:iCs/>
          <w:szCs w:val="20"/>
          <w:lang w:val="cs-CZ"/>
        </w:rPr>
        <w:t>the</w:t>
      </w:r>
      <w:proofErr w:type="spellEnd"/>
      <w:r w:rsidR="00BD533A" w:rsidRPr="00BD533A">
        <w:rPr>
          <w:rFonts w:cs="Arial"/>
          <w:b/>
          <w:i/>
          <w:iCs/>
          <w:szCs w:val="20"/>
          <w:lang w:val="cs-CZ"/>
        </w:rPr>
        <w:t xml:space="preserve"> </w:t>
      </w:r>
      <w:proofErr w:type="spellStart"/>
      <w:r w:rsidR="00BD533A" w:rsidRPr="00BD533A">
        <w:rPr>
          <w:rFonts w:cs="Arial"/>
          <w:b/>
          <w:i/>
          <w:iCs/>
          <w:szCs w:val="20"/>
          <w:lang w:val="cs-CZ"/>
        </w:rPr>
        <w:t>American</w:t>
      </w:r>
      <w:proofErr w:type="spellEnd"/>
      <w:r w:rsidR="00BD533A" w:rsidRPr="00BD533A">
        <w:rPr>
          <w:rFonts w:cs="Arial"/>
          <w:b/>
          <w:i/>
          <w:iCs/>
          <w:szCs w:val="20"/>
          <w:lang w:val="cs-CZ"/>
        </w:rPr>
        <w:t xml:space="preserve"> </w:t>
      </w:r>
      <w:proofErr w:type="spellStart"/>
      <w:r w:rsidR="00BD533A" w:rsidRPr="00BD533A">
        <w:rPr>
          <w:rFonts w:cs="Arial"/>
          <w:b/>
          <w:i/>
          <w:iCs/>
          <w:szCs w:val="20"/>
          <w:lang w:val="cs-CZ"/>
        </w:rPr>
        <w:t>Chemical</w:t>
      </w:r>
      <w:proofErr w:type="spellEnd"/>
      <w:r w:rsidR="00BD533A" w:rsidRPr="00BD533A">
        <w:rPr>
          <w:rFonts w:cs="Arial"/>
          <w:b/>
          <w:i/>
          <w:iCs/>
          <w:szCs w:val="20"/>
          <w:lang w:val="cs-CZ"/>
        </w:rPr>
        <w:t xml:space="preserve"> Society</w:t>
      </w:r>
      <w:r w:rsidR="00BD533A" w:rsidRPr="00BD533A">
        <w:rPr>
          <w:rFonts w:cs="Arial"/>
          <w:b/>
          <w:iCs/>
          <w:szCs w:val="20"/>
          <w:lang w:val="cs-CZ"/>
        </w:rPr>
        <w:t>.</w:t>
      </w:r>
    </w:p>
    <w:p w:rsidR="00BD533A" w:rsidRPr="00BD533A" w:rsidRDefault="00BD533A" w:rsidP="00BD533A">
      <w:pPr>
        <w:pStyle w:val="Standard"/>
        <w:widowControl w:val="0"/>
        <w:spacing w:before="120" w:after="120"/>
        <w:jc w:val="both"/>
        <w:rPr>
          <w:rFonts w:cs="Arial"/>
          <w:iCs/>
          <w:szCs w:val="20"/>
          <w:lang w:val="cs-CZ"/>
        </w:rPr>
      </w:pPr>
      <w:r w:rsidRPr="00BD533A">
        <w:rPr>
          <w:rFonts w:cs="Arial"/>
          <w:iCs/>
          <w:szCs w:val="20"/>
          <w:lang w:val="cs-CZ"/>
        </w:rPr>
        <w:t>Když vědci připravují z jednotlivých atomů či molekul miniaturní molekulární stroje, jako např. vypínače nebo motory, od kterých očekávají nějakou zpětnou vazbu, tak řeší několik klíčových otázek. První z</w:t>
      </w:r>
      <w:r w:rsidR="00DB4839">
        <w:rPr>
          <w:rFonts w:cs="Arial"/>
          <w:iCs/>
          <w:szCs w:val="20"/>
          <w:lang w:val="cs-CZ"/>
        </w:rPr>
        <w:t> </w:t>
      </w:r>
      <w:r w:rsidRPr="00BD533A">
        <w:rPr>
          <w:rFonts w:cs="Arial"/>
          <w:iCs/>
          <w:szCs w:val="20"/>
          <w:lang w:val="cs-CZ"/>
        </w:rPr>
        <w:t xml:space="preserve">nich je způsob, jakým jednotlivá molekulární zařízení vhodně uspořádat, aby se mohly projevit kolektivní vlastnosti, které bychom u izolovaných molekul nemohli pozorovat. Dále pak vyvstává otázka, zda v takovém </w:t>
      </w:r>
      <w:proofErr w:type="spellStart"/>
      <w:r w:rsidRPr="00BD533A">
        <w:rPr>
          <w:rFonts w:cs="Arial"/>
          <w:iCs/>
          <w:szCs w:val="20"/>
          <w:lang w:val="cs-CZ"/>
        </w:rPr>
        <w:t>supramolekulárním</w:t>
      </w:r>
      <w:proofErr w:type="spellEnd"/>
      <w:r w:rsidRPr="00BD533A">
        <w:rPr>
          <w:rFonts w:cs="Arial"/>
          <w:iCs/>
          <w:szCs w:val="20"/>
          <w:lang w:val="cs-CZ"/>
        </w:rPr>
        <w:t xml:space="preserve"> uspořádání budou i nadále správně fungovat. V neposlední řadě pak vědci řeší problém, jak tyto stroje a jejich pohyb vůbec sledovat. Pokud by vědci pracovali s</w:t>
      </w:r>
      <w:r w:rsidR="00DB4839">
        <w:rPr>
          <w:rFonts w:cs="Arial"/>
          <w:iCs/>
          <w:szCs w:val="20"/>
          <w:lang w:val="cs-CZ"/>
        </w:rPr>
        <w:t> </w:t>
      </w:r>
      <w:r w:rsidRPr="00BD533A">
        <w:rPr>
          <w:rFonts w:cs="Arial"/>
          <w:iCs/>
          <w:szCs w:val="20"/>
          <w:lang w:val="cs-CZ"/>
        </w:rPr>
        <w:t>molekulárními stroji v roztoku, kde nehrozí problémy s nežádoucími interakcemi se sousedy, neměli by možnost kontrolovat jejich přesnou pozici, protože v roztoku se jednotlivé molekuly neustále náhodně pohybují. Naproti tomu, pokud se z molekulárních strojů vytvoří krystal a vznikne tak stabilní pevná látka, molekuly se uspořádají do kompaktního útvaru a ztrácí schopnost pohybu či přepínání, protože k</w:t>
      </w:r>
      <w:r w:rsidR="00DB4839">
        <w:rPr>
          <w:rFonts w:cs="Arial"/>
          <w:iCs/>
          <w:szCs w:val="20"/>
          <w:lang w:val="cs-CZ"/>
        </w:rPr>
        <w:t> </w:t>
      </w:r>
      <w:r w:rsidRPr="00BD533A">
        <w:rPr>
          <w:rFonts w:cs="Arial"/>
          <w:iCs/>
          <w:szCs w:val="20"/>
          <w:lang w:val="cs-CZ"/>
        </w:rPr>
        <w:t>tomu nemají uvnitř trojrozměrného krystalu dostatek prostoru.</w:t>
      </w:r>
    </w:p>
    <w:p w:rsidR="00BD533A" w:rsidRPr="00BD533A" w:rsidRDefault="00BD533A" w:rsidP="00BD533A">
      <w:pPr>
        <w:pStyle w:val="Standard"/>
        <w:widowControl w:val="0"/>
        <w:spacing w:before="120" w:after="120"/>
        <w:jc w:val="both"/>
        <w:rPr>
          <w:rFonts w:cs="Arial"/>
          <w:iCs/>
          <w:szCs w:val="20"/>
          <w:lang w:val="cs-CZ"/>
        </w:rPr>
      </w:pPr>
      <w:r w:rsidRPr="00BD533A">
        <w:rPr>
          <w:rFonts w:cs="Arial"/>
          <w:iCs/>
          <w:szCs w:val="20"/>
          <w:lang w:val="cs-CZ"/>
        </w:rPr>
        <w:t xml:space="preserve">Proto Jiří Kaleta a kolegové </w:t>
      </w:r>
      <w:r w:rsidR="003623F9" w:rsidRPr="003623F9">
        <w:rPr>
          <w:rFonts w:cs="Arial"/>
          <w:iCs/>
          <w:szCs w:val="20"/>
          <w:lang w:val="cs-CZ"/>
        </w:rPr>
        <w:t xml:space="preserve">ve spolupráci s vědci z Univerzity Karlovy a americké University </w:t>
      </w:r>
      <w:proofErr w:type="spellStart"/>
      <w:r w:rsidR="003623F9" w:rsidRPr="003623F9">
        <w:rPr>
          <w:rFonts w:cs="Arial"/>
          <w:iCs/>
          <w:szCs w:val="20"/>
          <w:lang w:val="cs-CZ"/>
        </w:rPr>
        <w:t>of</w:t>
      </w:r>
      <w:proofErr w:type="spellEnd"/>
      <w:r w:rsidR="003623F9" w:rsidRPr="003623F9">
        <w:rPr>
          <w:rFonts w:cs="Arial"/>
          <w:iCs/>
          <w:szCs w:val="20"/>
          <w:lang w:val="cs-CZ"/>
        </w:rPr>
        <w:t xml:space="preserve"> Colorado </w:t>
      </w:r>
      <w:r w:rsidRPr="00BD533A">
        <w:rPr>
          <w:rFonts w:cs="Arial"/>
          <w:iCs/>
          <w:szCs w:val="20"/>
          <w:lang w:val="cs-CZ"/>
        </w:rPr>
        <w:t xml:space="preserve">navrhli způsob, jak nové molekulární spínače rozmístit a ukotvit na pevném povrchu za vzniku pravidelného 2D filmu, a tím získat to nejlepší z obou světů: stabilní a pravidelné uspořádání spínačů jako v krystalu, ale s dostatkem prostoru pro jejich vlastní fungování jako v roztoku. To otevírá dveře jejich potenciálnímu využití například v optice (OLED diody) nebo </w:t>
      </w:r>
      <w:proofErr w:type="spellStart"/>
      <w:r w:rsidRPr="00BD533A">
        <w:rPr>
          <w:rFonts w:cs="Arial"/>
          <w:iCs/>
          <w:szCs w:val="20"/>
          <w:lang w:val="cs-CZ"/>
        </w:rPr>
        <w:t>nanoelektronice</w:t>
      </w:r>
      <w:proofErr w:type="spellEnd"/>
      <w:r w:rsidRPr="00BD533A">
        <w:rPr>
          <w:rFonts w:cs="Arial"/>
          <w:iCs/>
          <w:szCs w:val="20"/>
          <w:lang w:val="cs-CZ"/>
        </w:rPr>
        <w:t xml:space="preserve"> (např. paměťové součástky).</w:t>
      </w:r>
    </w:p>
    <w:p w:rsidR="00BD533A" w:rsidRPr="00BD533A" w:rsidRDefault="00BD533A" w:rsidP="00BD533A">
      <w:pPr>
        <w:pStyle w:val="Standard"/>
        <w:widowControl w:val="0"/>
        <w:spacing w:before="120" w:after="120"/>
        <w:jc w:val="both"/>
        <w:rPr>
          <w:rFonts w:cs="Arial"/>
          <w:iCs/>
          <w:szCs w:val="20"/>
          <w:lang w:val="cs-CZ"/>
        </w:rPr>
      </w:pPr>
      <w:r w:rsidRPr="00BD533A">
        <w:rPr>
          <w:rFonts w:cs="Arial"/>
          <w:iCs/>
          <w:szCs w:val="20"/>
          <w:lang w:val="cs-CZ"/>
        </w:rPr>
        <w:t xml:space="preserve">Pravděpodobně nejznámějším molekulárním vypínačem je </w:t>
      </w:r>
      <w:proofErr w:type="spellStart"/>
      <w:r w:rsidRPr="00BD533A">
        <w:rPr>
          <w:rFonts w:cs="Arial"/>
          <w:iCs/>
          <w:szCs w:val="20"/>
          <w:lang w:val="cs-CZ"/>
        </w:rPr>
        <w:t>azobenzen</w:t>
      </w:r>
      <w:proofErr w:type="spellEnd"/>
      <w:r w:rsidRPr="00BD533A">
        <w:rPr>
          <w:rFonts w:cs="Arial"/>
          <w:iCs/>
          <w:szCs w:val="20"/>
          <w:lang w:val="cs-CZ"/>
        </w:rPr>
        <w:t xml:space="preserve"> a jeho deriváty, u nichž je možné světelným zářením či teplem měnit uspořádání chemické vazby mezi dvěma atomy dusíku. Takové látky využili i vědci ze skupiny Jiřího Kalety, když je zabudovali do speciálně navržené molekuly, která svým tvarem připomíná miniaturní tyčinku. Ta na jednom konci nese vlastní molekulární vypínač, zatímco se svým druhým koncem dokáže nasoukat do nanokrystalické matrice známé pod chemickým názvem </w:t>
      </w:r>
      <w:proofErr w:type="spellStart"/>
      <w:r w:rsidRPr="00BD533A">
        <w:rPr>
          <w:rFonts w:cs="Arial"/>
          <w:iCs/>
          <w:szCs w:val="20"/>
          <w:lang w:val="cs-CZ"/>
        </w:rPr>
        <w:t>tris</w:t>
      </w:r>
      <w:proofErr w:type="spellEnd"/>
      <w:r w:rsidRPr="00BD533A">
        <w:rPr>
          <w:rFonts w:cs="Arial"/>
          <w:iCs/>
          <w:szCs w:val="20"/>
          <w:lang w:val="cs-CZ"/>
        </w:rPr>
        <w:t>(o-</w:t>
      </w:r>
      <w:proofErr w:type="spellStart"/>
      <w:r w:rsidRPr="00BD533A">
        <w:rPr>
          <w:rFonts w:cs="Arial"/>
          <w:iCs/>
          <w:szCs w:val="20"/>
          <w:lang w:val="cs-CZ"/>
        </w:rPr>
        <w:t>fenylendioxy</w:t>
      </w:r>
      <w:proofErr w:type="spellEnd"/>
      <w:r w:rsidRPr="00BD533A">
        <w:rPr>
          <w:rFonts w:cs="Arial"/>
          <w:iCs/>
          <w:szCs w:val="20"/>
          <w:lang w:val="cs-CZ"/>
        </w:rPr>
        <w:t>)</w:t>
      </w:r>
      <w:proofErr w:type="spellStart"/>
      <w:r w:rsidRPr="00BD533A">
        <w:rPr>
          <w:rFonts w:cs="Arial"/>
          <w:iCs/>
          <w:szCs w:val="20"/>
          <w:lang w:val="cs-CZ"/>
        </w:rPr>
        <w:t>cyklotrifosfazen</w:t>
      </w:r>
      <w:proofErr w:type="spellEnd"/>
      <w:r w:rsidRPr="00BD533A">
        <w:rPr>
          <w:rFonts w:cs="Arial"/>
          <w:iCs/>
          <w:szCs w:val="20"/>
          <w:lang w:val="cs-CZ"/>
        </w:rPr>
        <w:t xml:space="preserve"> (TPP). Jedná se o porézní materiál protkaný sítí rovnoběžných kanálků, které propojují dvě protější plochy diskovitých krystalů.</w:t>
      </w:r>
    </w:p>
    <w:p w:rsidR="00BD533A" w:rsidRPr="00BD533A" w:rsidRDefault="00BD533A" w:rsidP="00BD533A">
      <w:pPr>
        <w:pStyle w:val="Standard"/>
        <w:widowControl w:val="0"/>
        <w:spacing w:before="120" w:after="120"/>
        <w:jc w:val="both"/>
        <w:rPr>
          <w:rFonts w:cs="Arial"/>
          <w:iCs/>
          <w:szCs w:val="20"/>
          <w:lang w:val="cs-CZ"/>
        </w:rPr>
      </w:pPr>
      <w:r w:rsidRPr="00BD533A">
        <w:rPr>
          <w:rFonts w:cs="Arial"/>
          <w:iCs/>
          <w:szCs w:val="20"/>
          <w:lang w:val="cs-CZ"/>
        </w:rPr>
        <w:t xml:space="preserve">Vědcům se navíc podařilo nahradit jeden ze dvou běžných dusíkových atomů, které jsou klíčovou součástí molekulárního vypínače, za izotop dusíku </w:t>
      </w:r>
      <w:r w:rsidRPr="00DB4839">
        <w:rPr>
          <w:rFonts w:cs="Arial"/>
          <w:iCs/>
          <w:szCs w:val="20"/>
          <w:vertAlign w:val="superscript"/>
          <w:lang w:val="cs-CZ"/>
        </w:rPr>
        <w:t>15</w:t>
      </w:r>
      <w:r w:rsidRPr="00BD533A">
        <w:rPr>
          <w:rFonts w:cs="Arial"/>
          <w:iCs/>
          <w:szCs w:val="20"/>
          <w:lang w:val="cs-CZ"/>
        </w:rPr>
        <w:t xml:space="preserve">N a mohli tak jednotlivé strukturální změny </w:t>
      </w:r>
      <w:r w:rsidRPr="00BD533A">
        <w:rPr>
          <w:rFonts w:cs="Arial"/>
          <w:iCs/>
          <w:szCs w:val="20"/>
          <w:lang w:val="cs-CZ"/>
        </w:rPr>
        <w:lastRenderedPageBreak/>
        <w:t>v</w:t>
      </w:r>
      <w:r w:rsidR="00DB4839">
        <w:rPr>
          <w:rFonts w:cs="Arial"/>
          <w:iCs/>
          <w:szCs w:val="20"/>
          <w:lang w:val="cs-CZ"/>
        </w:rPr>
        <w:t> </w:t>
      </w:r>
      <w:r w:rsidRPr="00BD533A">
        <w:rPr>
          <w:rFonts w:cs="Arial"/>
          <w:iCs/>
          <w:szCs w:val="20"/>
          <w:lang w:val="cs-CZ"/>
        </w:rPr>
        <w:t>průběhu přepínání sledovat téměř v přímém přenosu pomocí nukleární magnetické rezonance. Díky tomu ověřili, že molekulární spínače zůstávají funkční a reagují na světelné a tepelné impulsy i po jejich zabudování do jedné supramolekulární vrstvy.</w:t>
      </w:r>
    </w:p>
    <w:p w:rsidR="00BD533A" w:rsidRPr="00BD533A" w:rsidRDefault="00BD533A" w:rsidP="00BD533A">
      <w:pPr>
        <w:pStyle w:val="Standard"/>
        <w:widowControl w:val="0"/>
        <w:spacing w:before="120" w:after="120"/>
        <w:jc w:val="both"/>
        <w:rPr>
          <w:rFonts w:cs="Arial"/>
          <w:iCs/>
          <w:szCs w:val="20"/>
          <w:lang w:val="cs-CZ"/>
        </w:rPr>
      </w:pPr>
      <w:r w:rsidRPr="00DB4839">
        <w:rPr>
          <w:rFonts w:cs="Arial"/>
          <w:i/>
          <w:iCs/>
          <w:szCs w:val="20"/>
          <w:lang w:val="cs-CZ"/>
        </w:rPr>
        <w:t>„Nechali jsme na tom dva roky života a na první pohled by se mohlo zdát, že naše molekulární stroje toho zatím až tak moc neumí. Opak je ale pravdou, protože se nám na tomto prototypu podařilo jednoznačně dokázat, že tímto směrem může vést cesta k dalším průlomům. Máme plochu, na kterou je teoreticky možné laserem zapsat informaci ANO/NE, jednička/nula, kterou na tom samém místě můžeme teoreticky zase přečíst. Když se nad tím zamyslíte, je to to samé, jako CD a DVD disky, ale na úrovni atomů,“</w:t>
      </w:r>
      <w:r w:rsidRPr="00BD533A">
        <w:rPr>
          <w:rFonts w:cs="Arial"/>
          <w:iCs/>
          <w:szCs w:val="20"/>
          <w:lang w:val="cs-CZ"/>
        </w:rPr>
        <w:t xml:space="preserve"> říká duchovní otec projektu Jiří Kaleta a už plánuje, jakými dalšími způsoby svá pole spínačů vylepší. Možností je dostatek a zkoumat jejich skutečné schopnosti zatím nebylo jak.</w:t>
      </w:r>
    </w:p>
    <w:p w:rsidR="00BD533A" w:rsidRDefault="00BD533A" w:rsidP="00BD533A">
      <w:pPr>
        <w:pStyle w:val="Standard"/>
        <w:widowControl w:val="0"/>
        <w:spacing w:before="120" w:after="120"/>
        <w:jc w:val="both"/>
        <w:rPr>
          <w:rFonts w:cs="Arial"/>
          <w:iCs/>
          <w:szCs w:val="20"/>
          <w:lang w:val="cs-CZ"/>
        </w:rPr>
      </w:pPr>
      <w:r w:rsidRPr="00BD533A">
        <w:rPr>
          <w:rFonts w:cs="Arial"/>
          <w:iCs/>
          <w:szCs w:val="20"/>
          <w:lang w:val="cs-CZ"/>
        </w:rPr>
        <w:t>Tímto objevem vědci navázali na své předchozí úspěchy na poli přípravy a využití molekulárních strojů i přípravy dvourozměrných vrstev na povrchu krystalů. Kombinace pórovitého podkladu, do nějž se zasouvají molekulární stojany s připevněnou otočnou hlavou, slavila již dříve úspěchy se světlem poháněnými motory, ale její kombinace s molekulárními přepínači a ověření vlastností pomocí magnetické rezonance znamená další průlom a nabízí nové možnosti dalšího využití.</w:t>
      </w:r>
    </w:p>
    <w:p w:rsidR="00E72B02" w:rsidRPr="00BD533A" w:rsidRDefault="00E72B02" w:rsidP="00E72B02">
      <w:pPr>
        <w:pStyle w:val="Standard"/>
        <w:widowControl w:val="0"/>
        <w:spacing w:before="120" w:after="120"/>
        <w:jc w:val="center"/>
        <w:rPr>
          <w:rFonts w:cs="Arial"/>
          <w:iCs/>
          <w:szCs w:val="20"/>
          <w:lang w:val="cs-CZ"/>
        </w:rPr>
      </w:pPr>
      <w:r>
        <w:rPr>
          <w:rFonts w:cs="Arial"/>
          <w:iCs/>
          <w:noProof/>
          <w:szCs w:val="20"/>
          <w:lang w:val="cs-CZ" w:eastAsia="cs-CZ"/>
        </w:rPr>
        <w:drawing>
          <wp:inline distT="0" distB="0" distL="0" distR="0">
            <wp:extent cx="5186149" cy="3167533"/>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_white_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8405" cy="3168911"/>
                    </a:xfrm>
                    <a:prstGeom prst="rect">
                      <a:avLst/>
                    </a:prstGeom>
                  </pic:spPr>
                </pic:pic>
              </a:graphicData>
            </a:graphic>
          </wp:inline>
        </w:drawing>
      </w:r>
    </w:p>
    <w:p w:rsidR="00E72B02" w:rsidRPr="00E72B02" w:rsidRDefault="00BD533A" w:rsidP="00E72B02">
      <w:pPr>
        <w:pStyle w:val="Standard"/>
        <w:widowControl w:val="0"/>
        <w:suppressAutoHyphens w:val="0"/>
        <w:spacing w:before="120" w:after="120"/>
        <w:jc w:val="both"/>
        <w:rPr>
          <w:rFonts w:cs="Arial"/>
          <w:b/>
          <w:iCs/>
          <w:color w:val="00205B"/>
          <w:szCs w:val="20"/>
          <w:lang w:val="cs-CZ"/>
        </w:rPr>
      </w:pPr>
      <w:r w:rsidRPr="00BD533A">
        <w:rPr>
          <w:rFonts w:cs="Arial"/>
          <w:b/>
          <w:iCs/>
          <w:szCs w:val="20"/>
          <w:lang w:val="cs-CZ"/>
        </w:rPr>
        <w:t>Původní článek:</w:t>
      </w:r>
      <w:r w:rsidRPr="00BD533A">
        <w:rPr>
          <w:rFonts w:cs="Arial"/>
          <w:iCs/>
          <w:szCs w:val="20"/>
          <w:lang w:val="cs-CZ"/>
        </w:rPr>
        <w:t xml:space="preserve"> Santos </w:t>
      </w:r>
      <w:proofErr w:type="spellStart"/>
      <w:r w:rsidRPr="00BD533A">
        <w:rPr>
          <w:rFonts w:cs="Arial"/>
          <w:iCs/>
          <w:szCs w:val="20"/>
          <w:lang w:val="cs-CZ"/>
        </w:rPr>
        <w:t>Hurtado</w:t>
      </w:r>
      <w:proofErr w:type="spellEnd"/>
      <w:r w:rsidRPr="00BD533A">
        <w:rPr>
          <w:rFonts w:cs="Arial"/>
          <w:iCs/>
          <w:szCs w:val="20"/>
          <w:lang w:val="cs-CZ"/>
        </w:rPr>
        <w:t xml:space="preserve">, C.; </w:t>
      </w:r>
      <w:proofErr w:type="spellStart"/>
      <w:r w:rsidRPr="00BD533A">
        <w:rPr>
          <w:rFonts w:cs="Arial"/>
          <w:iCs/>
          <w:szCs w:val="20"/>
          <w:lang w:val="cs-CZ"/>
        </w:rPr>
        <w:t>Bastien</w:t>
      </w:r>
      <w:proofErr w:type="spellEnd"/>
      <w:r w:rsidRPr="00BD533A">
        <w:rPr>
          <w:rFonts w:cs="Arial"/>
          <w:iCs/>
          <w:szCs w:val="20"/>
          <w:lang w:val="cs-CZ"/>
        </w:rPr>
        <w:t xml:space="preserve">, G.; Mašát, M.; Štoček, J. R.; </w:t>
      </w:r>
      <w:proofErr w:type="spellStart"/>
      <w:r w:rsidRPr="00BD533A">
        <w:rPr>
          <w:rFonts w:cs="Arial"/>
          <w:iCs/>
          <w:szCs w:val="20"/>
          <w:lang w:val="cs-CZ"/>
        </w:rPr>
        <w:t>Dračínský</w:t>
      </w:r>
      <w:proofErr w:type="spellEnd"/>
      <w:r w:rsidRPr="00BD533A">
        <w:rPr>
          <w:rFonts w:cs="Arial"/>
          <w:iCs/>
          <w:szCs w:val="20"/>
          <w:lang w:val="cs-CZ"/>
        </w:rPr>
        <w:t xml:space="preserve">, M.; </w:t>
      </w:r>
      <w:proofErr w:type="spellStart"/>
      <w:r w:rsidRPr="00BD533A">
        <w:rPr>
          <w:rFonts w:cs="Arial"/>
          <w:iCs/>
          <w:szCs w:val="20"/>
          <w:lang w:val="cs-CZ"/>
        </w:rPr>
        <w:t>Rončević</w:t>
      </w:r>
      <w:proofErr w:type="spellEnd"/>
      <w:r w:rsidRPr="00BD533A">
        <w:rPr>
          <w:rFonts w:cs="Arial"/>
          <w:iCs/>
          <w:szCs w:val="20"/>
          <w:lang w:val="cs-CZ"/>
        </w:rPr>
        <w:t xml:space="preserve">, I.; Císařová, I.; </w:t>
      </w:r>
      <w:proofErr w:type="spellStart"/>
      <w:r w:rsidRPr="00BD533A">
        <w:rPr>
          <w:rFonts w:cs="Arial"/>
          <w:iCs/>
          <w:szCs w:val="20"/>
          <w:lang w:val="cs-CZ"/>
        </w:rPr>
        <w:t>Rogers</w:t>
      </w:r>
      <w:proofErr w:type="spellEnd"/>
      <w:r w:rsidRPr="00BD533A">
        <w:rPr>
          <w:rFonts w:cs="Arial"/>
          <w:iCs/>
          <w:szCs w:val="20"/>
          <w:lang w:val="cs-CZ"/>
        </w:rPr>
        <w:t xml:space="preserve">, C. T.; Kaleta, J., </w:t>
      </w:r>
      <w:proofErr w:type="spellStart"/>
      <w:r w:rsidRPr="00BD533A">
        <w:rPr>
          <w:rFonts w:cs="Arial"/>
          <w:iCs/>
          <w:szCs w:val="20"/>
          <w:lang w:val="cs-CZ"/>
        </w:rPr>
        <w:t>Regular</w:t>
      </w:r>
      <w:proofErr w:type="spellEnd"/>
      <w:r w:rsidRPr="00BD533A">
        <w:rPr>
          <w:rFonts w:cs="Arial"/>
          <w:iCs/>
          <w:szCs w:val="20"/>
          <w:lang w:val="cs-CZ"/>
        </w:rPr>
        <w:t xml:space="preserve"> </w:t>
      </w:r>
      <w:proofErr w:type="spellStart"/>
      <w:r w:rsidRPr="00BD533A">
        <w:rPr>
          <w:rFonts w:cs="Arial"/>
          <w:iCs/>
          <w:szCs w:val="20"/>
          <w:lang w:val="cs-CZ"/>
        </w:rPr>
        <w:t>Two-Dimensional</w:t>
      </w:r>
      <w:proofErr w:type="spellEnd"/>
      <w:r w:rsidRPr="00BD533A">
        <w:rPr>
          <w:rFonts w:cs="Arial"/>
          <w:iCs/>
          <w:szCs w:val="20"/>
          <w:lang w:val="cs-CZ"/>
        </w:rPr>
        <w:t xml:space="preserve"> </w:t>
      </w:r>
      <w:proofErr w:type="spellStart"/>
      <w:r w:rsidRPr="00BD533A">
        <w:rPr>
          <w:rFonts w:cs="Arial"/>
          <w:iCs/>
          <w:szCs w:val="20"/>
          <w:lang w:val="cs-CZ"/>
        </w:rPr>
        <w:t>Arrays</w:t>
      </w:r>
      <w:proofErr w:type="spellEnd"/>
      <w:r w:rsidRPr="00BD533A">
        <w:rPr>
          <w:rFonts w:cs="Arial"/>
          <w:iCs/>
          <w:szCs w:val="20"/>
          <w:lang w:val="cs-CZ"/>
        </w:rPr>
        <w:t xml:space="preserve"> </w:t>
      </w:r>
      <w:proofErr w:type="spellStart"/>
      <w:r w:rsidRPr="00BD533A">
        <w:rPr>
          <w:rFonts w:cs="Arial"/>
          <w:iCs/>
          <w:szCs w:val="20"/>
          <w:lang w:val="cs-CZ"/>
        </w:rPr>
        <w:t>of</w:t>
      </w:r>
      <w:proofErr w:type="spellEnd"/>
      <w:r w:rsidRPr="00BD533A">
        <w:rPr>
          <w:rFonts w:cs="Arial"/>
          <w:iCs/>
          <w:szCs w:val="20"/>
          <w:lang w:val="cs-CZ"/>
        </w:rPr>
        <w:t xml:space="preserve"> </w:t>
      </w:r>
      <w:proofErr w:type="spellStart"/>
      <w:r w:rsidRPr="00BD533A">
        <w:rPr>
          <w:rFonts w:cs="Arial"/>
          <w:iCs/>
          <w:szCs w:val="20"/>
          <w:lang w:val="cs-CZ"/>
        </w:rPr>
        <w:t>Surface-Mounted</w:t>
      </w:r>
      <w:proofErr w:type="spellEnd"/>
      <w:r w:rsidRPr="00BD533A">
        <w:rPr>
          <w:rFonts w:cs="Arial"/>
          <w:iCs/>
          <w:szCs w:val="20"/>
          <w:lang w:val="cs-CZ"/>
        </w:rPr>
        <w:t xml:space="preserve"> </w:t>
      </w:r>
      <w:proofErr w:type="spellStart"/>
      <w:r w:rsidRPr="00BD533A">
        <w:rPr>
          <w:rFonts w:cs="Arial"/>
          <w:iCs/>
          <w:szCs w:val="20"/>
          <w:lang w:val="cs-CZ"/>
        </w:rPr>
        <w:t>Molecular</w:t>
      </w:r>
      <w:proofErr w:type="spellEnd"/>
      <w:r w:rsidRPr="00BD533A">
        <w:rPr>
          <w:rFonts w:cs="Arial"/>
          <w:iCs/>
          <w:szCs w:val="20"/>
          <w:lang w:val="cs-CZ"/>
        </w:rPr>
        <w:t xml:space="preserve"> </w:t>
      </w:r>
      <w:proofErr w:type="spellStart"/>
      <w:r w:rsidRPr="00BD533A">
        <w:rPr>
          <w:rFonts w:cs="Arial"/>
          <w:iCs/>
          <w:szCs w:val="20"/>
          <w:lang w:val="cs-CZ"/>
        </w:rPr>
        <w:t>Switches</w:t>
      </w:r>
      <w:proofErr w:type="spellEnd"/>
      <w:r w:rsidRPr="00BD533A">
        <w:rPr>
          <w:rFonts w:cs="Arial"/>
          <w:iCs/>
          <w:szCs w:val="20"/>
          <w:lang w:val="cs-CZ"/>
        </w:rPr>
        <w:t xml:space="preserve">: </w:t>
      </w:r>
      <w:proofErr w:type="spellStart"/>
      <w:r w:rsidRPr="00BD533A">
        <w:rPr>
          <w:rFonts w:cs="Arial"/>
          <w:iCs/>
          <w:szCs w:val="20"/>
          <w:lang w:val="cs-CZ"/>
        </w:rPr>
        <w:t>Switching</w:t>
      </w:r>
      <w:proofErr w:type="spellEnd"/>
      <w:r w:rsidRPr="00BD533A">
        <w:rPr>
          <w:rFonts w:cs="Arial"/>
          <w:iCs/>
          <w:szCs w:val="20"/>
          <w:lang w:val="cs-CZ"/>
        </w:rPr>
        <w:t xml:space="preserve"> </w:t>
      </w:r>
      <w:proofErr w:type="spellStart"/>
      <w:r w:rsidRPr="00BD533A">
        <w:rPr>
          <w:rFonts w:cs="Arial"/>
          <w:iCs/>
          <w:szCs w:val="20"/>
          <w:lang w:val="cs-CZ"/>
        </w:rPr>
        <w:t>Monitored</w:t>
      </w:r>
      <w:proofErr w:type="spellEnd"/>
      <w:r w:rsidRPr="00BD533A">
        <w:rPr>
          <w:rFonts w:cs="Arial"/>
          <w:iCs/>
          <w:szCs w:val="20"/>
          <w:lang w:val="cs-CZ"/>
        </w:rPr>
        <w:t xml:space="preserve"> by UV–vis and NMR </w:t>
      </w:r>
      <w:proofErr w:type="spellStart"/>
      <w:r w:rsidRPr="00BD533A">
        <w:rPr>
          <w:rFonts w:cs="Arial"/>
          <w:iCs/>
          <w:szCs w:val="20"/>
          <w:lang w:val="cs-CZ"/>
        </w:rPr>
        <w:t>Spectroscopy</w:t>
      </w:r>
      <w:proofErr w:type="spellEnd"/>
      <w:r w:rsidRPr="00BD533A">
        <w:rPr>
          <w:rFonts w:cs="Arial"/>
          <w:iCs/>
          <w:szCs w:val="20"/>
          <w:lang w:val="cs-CZ"/>
        </w:rPr>
        <w:t xml:space="preserve">. </w:t>
      </w:r>
      <w:proofErr w:type="spellStart"/>
      <w:r w:rsidRPr="00BD533A">
        <w:rPr>
          <w:rFonts w:cs="Arial"/>
          <w:i/>
          <w:iCs/>
          <w:szCs w:val="20"/>
          <w:lang w:val="cs-CZ"/>
        </w:rPr>
        <w:t>Journal</w:t>
      </w:r>
      <w:proofErr w:type="spellEnd"/>
      <w:r w:rsidRPr="00BD533A">
        <w:rPr>
          <w:rFonts w:cs="Arial"/>
          <w:i/>
          <w:iCs/>
          <w:szCs w:val="20"/>
          <w:lang w:val="cs-CZ"/>
        </w:rPr>
        <w:t xml:space="preserve"> </w:t>
      </w:r>
      <w:proofErr w:type="spellStart"/>
      <w:r w:rsidRPr="00BD533A">
        <w:rPr>
          <w:rFonts w:cs="Arial"/>
          <w:i/>
          <w:iCs/>
          <w:szCs w:val="20"/>
          <w:lang w:val="cs-CZ"/>
        </w:rPr>
        <w:t>of</w:t>
      </w:r>
      <w:proofErr w:type="spellEnd"/>
      <w:r w:rsidRPr="00BD533A">
        <w:rPr>
          <w:rFonts w:cs="Arial"/>
          <w:i/>
          <w:iCs/>
          <w:szCs w:val="20"/>
          <w:lang w:val="cs-CZ"/>
        </w:rPr>
        <w:t xml:space="preserve"> </w:t>
      </w:r>
      <w:proofErr w:type="spellStart"/>
      <w:r w:rsidRPr="00BD533A">
        <w:rPr>
          <w:rFonts w:cs="Arial"/>
          <w:i/>
          <w:iCs/>
          <w:szCs w:val="20"/>
          <w:lang w:val="cs-CZ"/>
        </w:rPr>
        <w:t>the</w:t>
      </w:r>
      <w:proofErr w:type="spellEnd"/>
      <w:r w:rsidRPr="00BD533A">
        <w:rPr>
          <w:rFonts w:cs="Arial"/>
          <w:i/>
          <w:iCs/>
          <w:szCs w:val="20"/>
          <w:lang w:val="cs-CZ"/>
        </w:rPr>
        <w:t xml:space="preserve"> </w:t>
      </w:r>
      <w:proofErr w:type="spellStart"/>
      <w:r w:rsidRPr="00BD533A">
        <w:rPr>
          <w:rFonts w:cs="Arial"/>
          <w:i/>
          <w:iCs/>
          <w:szCs w:val="20"/>
          <w:lang w:val="cs-CZ"/>
        </w:rPr>
        <w:t>American</w:t>
      </w:r>
      <w:proofErr w:type="spellEnd"/>
      <w:r w:rsidRPr="00BD533A">
        <w:rPr>
          <w:rFonts w:cs="Arial"/>
          <w:i/>
          <w:iCs/>
          <w:szCs w:val="20"/>
          <w:lang w:val="cs-CZ"/>
        </w:rPr>
        <w:t xml:space="preserve"> </w:t>
      </w:r>
      <w:proofErr w:type="spellStart"/>
      <w:r w:rsidRPr="00BD533A">
        <w:rPr>
          <w:rFonts w:cs="Arial"/>
          <w:i/>
          <w:iCs/>
          <w:szCs w:val="20"/>
          <w:lang w:val="cs-CZ"/>
        </w:rPr>
        <w:t>Chemical</w:t>
      </w:r>
      <w:proofErr w:type="spellEnd"/>
      <w:r w:rsidRPr="00BD533A">
        <w:rPr>
          <w:rFonts w:cs="Arial"/>
          <w:i/>
          <w:iCs/>
          <w:szCs w:val="20"/>
          <w:lang w:val="cs-CZ"/>
        </w:rPr>
        <w:t xml:space="preserve"> Society</w:t>
      </w:r>
      <w:r w:rsidRPr="00BD533A">
        <w:rPr>
          <w:rFonts w:cs="Arial"/>
          <w:iCs/>
          <w:szCs w:val="20"/>
          <w:lang w:val="cs-CZ"/>
        </w:rPr>
        <w:t xml:space="preserve"> </w:t>
      </w:r>
      <w:r w:rsidRPr="00BD533A">
        <w:rPr>
          <w:rFonts w:cs="Arial"/>
          <w:b/>
          <w:iCs/>
          <w:szCs w:val="20"/>
          <w:lang w:val="cs-CZ"/>
        </w:rPr>
        <w:t>2020</w:t>
      </w:r>
      <w:r w:rsidRPr="00BD533A">
        <w:rPr>
          <w:rFonts w:cs="Arial"/>
          <w:iCs/>
          <w:szCs w:val="20"/>
          <w:lang w:val="cs-CZ"/>
        </w:rPr>
        <w:t xml:space="preserve">. DOI: </w:t>
      </w:r>
      <w:hyperlink r:id="rId9" w:history="1">
        <w:r w:rsidRPr="00DB4839">
          <w:rPr>
            <w:rStyle w:val="Hypertextovodkaz"/>
            <w:rFonts w:cs="Arial"/>
            <w:b/>
            <w:iCs/>
            <w:color w:val="00205B"/>
            <w:szCs w:val="20"/>
            <w:u w:val="none"/>
            <w:lang w:val="cs-CZ"/>
          </w:rPr>
          <w:t>10.1021/jacs.0c01753</w:t>
        </w:r>
      </w:hyperlink>
    </w:p>
    <w:p w:rsidR="003C2042" w:rsidRPr="00511B15" w:rsidRDefault="003C2042" w:rsidP="00B531D4">
      <w:pPr>
        <w:pStyle w:val="Standard"/>
        <w:widowControl w:val="0"/>
        <w:suppressAutoHyphens w:val="0"/>
        <w:spacing w:before="120" w:after="120"/>
        <w:rPr>
          <w:rFonts w:cs="Arial"/>
          <w:b/>
          <w:iCs/>
          <w:color w:val="00205B"/>
          <w:szCs w:val="20"/>
          <w:lang w:val="cs-CZ"/>
        </w:rPr>
      </w:pPr>
    </w:p>
    <w:p w:rsidR="007B411C" w:rsidRPr="00511B15" w:rsidRDefault="007B411C" w:rsidP="00B531D4">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10"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Pr="00511B15">
        <w:rPr>
          <w:rFonts w:cs="Arial"/>
          <w:szCs w:val="20"/>
          <w:lang w:val="cs-CZ"/>
        </w:rPr>
        <w:t>acii a dalších odvětvích.</w:t>
      </w:r>
    </w:p>
    <w:p w:rsidR="000E694E" w:rsidRPr="00511B15" w:rsidRDefault="000E694E" w:rsidP="00B531D4">
      <w:pPr>
        <w:widowControl w:val="0"/>
        <w:suppressAutoHyphens/>
        <w:autoSpaceDE w:val="0"/>
        <w:autoSpaceDN w:val="0"/>
        <w:adjustRightInd w:val="0"/>
        <w:spacing w:before="120" w:after="120"/>
        <w:jc w:val="center"/>
        <w:rPr>
          <w:rFonts w:cs="Arial"/>
          <w:kern w:val="1"/>
          <w:szCs w:val="20"/>
          <w:lang w:val="cs-CZ"/>
        </w:rPr>
      </w:pPr>
    </w:p>
    <w:p w:rsidR="00AB6B11" w:rsidRPr="00511B15" w:rsidRDefault="00AB6B11" w:rsidP="00B531D4">
      <w:pPr>
        <w:widowControl w:val="0"/>
        <w:suppressAutoHyphens/>
        <w:autoSpaceDE w:val="0"/>
        <w:autoSpaceDN w:val="0"/>
        <w:adjustRightInd w:val="0"/>
        <w:spacing w:before="120" w:after="120"/>
        <w:jc w:val="center"/>
        <w:rPr>
          <w:rFonts w:cs="Arial"/>
          <w:kern w:val="1"/>
          <w:szCs w:val="20"/>
          <w:lang w:val="cs-CZ"/>
        </w:rPr>
      </w:pPr>
      <w:r w:rsidRPr="00511B15">
        <w:rPr>
          <w:rFonts w:cs="Arial"/>
          <w:kern w:val="1"/>
          <w:szCs w:val="20"/>
          <w:lang w:val="cs-CZ"/>
        </w:rPr>
        <w:t>--- KONEC TISKOVÉ ZPRÁVY ---</w:t>
      </w:r>
    </w:p>
    <w:p w:rsidR="00B94938" w:rsidRPr="00511B15" w:rsidRDefault="00753C1C" w:rsidP="00B531D4">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t>KONTAKT PRO NOVINÁŘE:</w:t>
      </w:r>
    </w:p>
    <w:p w:rsidR="00EC508C" w:rsidRPr="00E72B02" w:rsidRDefault="008930DD" w:rsidP="00E72B02">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11"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sectPr w:rsidR="00EC508C" w:rsidRPr="00E72B02" w:rsidSect="000373DA">
      <w:headerReference w:type="default" r:id="rId12"/>
      <w:footerReference w:type="default" r:id="rId13"/>
      <w:headerReference w:type="first" r:id="rId14"/>
      <w:footerReference w:type="first" r:id="rId15"/>
      <w:pgSz w:w="11900" w:h="16840"/>
      <w:pgMar w:top="1559"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5D0" w:rsidRDefault="003335D0" w:rsidP="00AF7F5A">
      <w:r>
        <w:separator/>
      </w:r>
    </w:p>
  </w:endnote>
  <w:endnote w:type="continuationSeparator" w:id="0">
    <w:p w:rsidR="003335D0" w:rsidRDefault="003335D0"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C95D9AB" wp14:editId="4BCC545B">
          <wp:simplePos x="0" y="0"/>
          <wp:positionH relativeFrom="margin">
            <wp:posOffset>-897890</wp:posOffset>
          </wp:positionH>
          <wp:positionV relativeFrom="margin">
            <wp:posOffset>8723630</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simplePos x="0" y="0"/>
          <wp:positionH relativeFrom="column">
            <wp:posOffset>-893115</wp:posOffset>
          </wp:positionH>
          <wp:positionV relativeFrom="paragraph">
            <wp:posOffset>220980</wp:posOffset>
          </wp:positionV>
          <wp:extent cx="7560000" cy="97200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503BBC3C" wp14:editId="486EB469">
          <wp:simplePos x="0" y="0"/>
          <wp:positionH relativeFrom="margin">
            <wp:posOffset>-894080</wp:posOffset>
          </wp:positionH>
          <wp:positionV relativeFrom="margin">
            <wp:posOffset>7407910</wp:posOffset>
          </wp:positionV>
          <wp:extent cx="7559675" cy="971550"/>
          <wp:effectExtent l="0" t="0" r="317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5D0" w:rsidRDefault="003335D0" w:rsidP="00AF7F5A">
      <w:r>
        <w:separator/>
      </w:r>
    </w:p>
  </w:footnote>
  <w:footnote w:type="continuationSeparator" w:id="0">
    <w:p w:rsidR="003335D0" w:rsidRDefault="003335D0"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hlav"/>
      <w:ind w:left="-1417"/>
    </w:pPr>
    <w:r>
      <w:rPr>
        <w:noProof/>
        <w:lang w:val="cs-CZ" w:eastAsia="cs-CZ"/>
      </w:rPr>
      <w:drawing>
        <wp:anchor distT="0" distB="0" distL="114300" distR="114300" simplePos="0" relativeHeight="251660288" behindDoc="0" locked="0" layoutInCell="1" allowOverlap="1">
          <wp:simplePos x="0" y="0"/>
          <wp:positionH relativeFrom="column">
            <wp:posOffset>-892175</wp:posOffset>
          </wp:positionH>
          <wp:positionV relativeFrom="paragraph">
            <wp:posOffset>0</wp:posOffset>
          </wp:positionV>
          <wp:extent cx="7560000" cy="2160000"/>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20ED9"/>
    <w:rsid w:val="00031703"/>
    <w:rsid w:val="0003226B"/>
    <w:rsid w:val="0003522A"/>
    <w:rsid w:val="000373D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E01AA"/>
    <w:rsid w:val="002E0764"/>
    <w:rsid w:val="002E687C"/>
    <w:rsid w:val="003043D8"/>
    <w:rsid w:val="003067F3"/>
    <w:rsid w:val="00310D76"/>
    <w:rsid w:val="00314B64"/>
    <w:rsid w:val="00322131"/>
    <w:rsid w:val="003245B5"/>
    <w:rsid w:val="00333070"/>
    <w:rsid w:val="003335D0"/>
    <w:rsid w:val="003405FD"/>
    <w:rsid w:val="00341F1A"/>
    <w:rsid w:val="00355385"/>
    <w:rsid w:val="003623F9"/>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6F6D"/>
    <w:rsid w:val="00474DD1"/>
    <w:rsid w:val="00477F9E"/>
    <w:rsid w:val="00492D08"/>
    <w:rsid w:val="00497CFD"/>
    <w:rsid w:val="004A0276"/>
    <w:rsid w:val="004A623D"/>
    <w:rsid w:val="004B2709"/>
    <w:rsid w:val="004B2E85"/>
    <w:rsid w:val="004B48BA"/>
    <w:rsid w:val="004B5024"/>
    <w:rsid w:val="004F20BC"/>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1D2B"/>
    <w:rsid w:val="00753C1C"/>
    <w:rsid w:val="00764E2B"/>
    <w:rsid w:val="00776F9E"/>
    <w:rsid w:val="00780670"/>
    <w:rsid w:val="00791383"/>
    <w:rsid w:val="007A304C"/>
    <w:rsid w:val="007B0D37"/>
    <w:rsid w:val="007B411C"/>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2019B"/>
    <w:rsid w:val="0092351C"/>
    <w:rsid w:val="0092473E"/>
    <w:rsid w:val="00933EC9"/>
    <w:rsid w:val="009407FE"/>
    <w:rsid w:val="009422DB"/>
    <w:rsid w:val="00944C6B"/>
    <w:rsid w:val="00953894"/>
    <w:rsid w:val="00956461"/>
    <w:rsid w:val="0097095B"/>
    <w:rsid w:val="009834E1"/>
    <w:rsid w:val="009A60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B55B1"/>
    <w:rsid w:val="00BD533A"/>
    <w:rsid w:val="00C173B8"/>
    <w:rsid w:val="00C26B10"/>
    <w:rsid w:val="00C441FA"/>
    <w:rsid w:val="00C555A9"/>
    <w:rsid w:val="00C57AAC"/>
    <w:rsid w:val="00C746D5"/>
    <w:rsid w:val="00C80A2C"/>
    <w:rsid w:val="00CB77FB"/>
    <w:rsid w:val="00CC33E4"/>
    <w:rsid w:val="00CD7289"/>
    <w:rsid w:val="00CE27F3"/>
    <w:rsid w:val="00CF0DE7"/>
    <w:rsid w:val="00CF4426"/>
    <w:rsid w:val="00D1249C"/>
    <w:rsid w:val="00D124AC"/>
    <w:rsid w:val="00D1568D"/>
    <w:rsid w:val="00D21D82"/>
    <w:rsid w:val="00D272B9"/>
    <w:rsid w:val="00DA27A9"/>
    <w:rsid w:val="00DA2E69"/>
    <w:rsid w:val="00DA4F79"/>
    <w:rsid w:val="00DB0AC2"/>
    <w:rsid w:val="00DB4839"/>
    <w:rsid w:val="00DD52CC"/>
    <w:rsid w:val="00DE0585"/>
    <w:rsid w:val="00E0303C"/>
    <w:rsid w:val="00E150BC"/>
    <w:rsid w:val="00E17FD6"/>
    <w:rsid w:val="00E30104"/>
    <w:rsid w:val="00E4205E"/>
    <w:rsid w:val="00E420AC"/>
    <w:rsid w:val="00E53F41"/>
    <w:rsid w:val="00E540E3"/>
    <w:rsid w:val="00E61839"/>
    <w:rsid w:val="00E72B02"/>
    <w:rsid w:val="00E81C5B"/>
    <w:rsid w:val="00E81F3C"/>
    <w:rsid w:val="00E86A51"/>
    <w:rsid w:val="00EB24BA"/>
    <w:rsid w:val="00EB764D"/>
    <w:rsid w:val="00EC508C"/>
    <w:rsid w:val="00EC6788"/>
    <w:rsid w:val="00F04DDE"/>
    <w:rsid w:val="00F40C69"/>
    <w:rsid w:val="00F661EA"/>
    <w:rsid w:val="00F856CF"/>
    <w:rsid w:val="00F870DD"/>
    <w:rsid w:val="00FB0AF3"/>
    <w:rsid w:val="00FB131A"/>
    <w:rsid w:val="00FC1E51"/>
    <w:rsid w:val="00FD6A3A"/>
    <w:rsid w:val="00FE0664"/>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usan.brinzanik@uochb.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chb.cz" TargetMode="External"/><Relationship Id="rId4" Type="http://schemas.openxmlformats.org/officeDocument/2006/relationships/webSettings" Target="webSettings.xml"/><Relationship Id="rId9" Type="http://schemas.openxmlformats.org/officeDocument/2006/relationships/hyperlink" Target="http://doi.org/10.1021/jacs.0c01753"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B3C0-73C4-476C-98E0-B104E6A7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4778</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Růžičková Markéta</cp:lastModifiedBy>
  <cp:revision>2</cp:revision>
  <cp:lastPrinted>2017-08-09T12:51:00Z</cp:lastPrinted>
  <dcterms:created xsi:type="dcterms:W3CDTF">2020-05-13T05:18:00Z</dcterms:created>
  <dcterms:modified xsi:type="dcterms:W3CDTF">2020-05-13T05:18:00Z</dcterms:modified>
</cp:coreProperties>
</file>