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78186" w14:textId="758F4EA3" w:rsidR="0062236B" w:rsidRPr="000D0DF5" w:rsidRDefault="009C4475" w:rsidP="0062236B">
      <w:pPr>
        <w:spacing w:line="276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0D0DF5">
        <w:rPr>
          <w:rFonts w:ascii="Arial" w:hAnsi="Arial" w:cs="Arial"/>
          <w:b/>
          <w:sz w:val="28"/>
        </w:rPr>
        <w:t>Vysokoškolští studenti během první vlny pandemie</w:t>
      </w:r>
      <w:r w:rsidR="006458B2">
        <w:rPr>
          <w:rFonts w:ascii="Arial" w:hAnsi="Arial" w:cs="Arial"/>
          <w:b/>
          <w:sz w:val="28"/>
        </w:rPr>
        <w:t xml:space="preserve"> </w:t>
      </w:r>
      <w:proofErr w:type="spellStart"/>
      <w:r w:rsidR="006458B2">
        <w:rPr>
          <w:rFonts w:ascii="Arial" w:hAnsi="Arial" w:cs="Arial"/>
          <w:b/>
          <w:sz w:val="28"/>
        </w:rPr>
        <w:t>koronaviru</w:t>
      </w:r>
      <w:proofErr w:type="spellEnd"/>
    </w:p>
    <w:p w14:paraId="5224389C" w14:textId="51670772" w:rsidR="00AD24F8" w:rsidRPr="000D0DF5" w:rsidRDefault="001360AD" w:rsidP="00F276BB">
      <w:pPr>
        <w:spacing w:after="0" w:line="276" w:lineRule="auto"/>
        <w:jc w:val="both"/>
        <w:rPr>
          <w:rFonts w:ascii="Arial" w:hAnsi="Arial" w:cs="Arial"/>
          <w:i/>
        </w:rPr>
      </w:pPr>
      <w:r w:rsidRPr="000D0DF5">
        <w:rPr>
          <w:rFonts w:ascii="Arial" w:hAnsi="Arial" w:cs="Arial"/>
          <w:b/>
        </w:rPr>
        <w:br/>
      </w:r>
      <w:r w:rsidR="000D0DF5" w:rsidRPr="000D0DF5">
        <w:rPr>
          <w:rFonts w:ascii="Arial" w:hAnsi="Arial" w:cs="Arial"/>
          <w:b/>
        </w:rPr>
        <w:t>2</w:t>
      </w:r>
      <w:r w:rsidR="005040B1">
        <w:rPr>
          <w:rFonts w:ascii="Arial" w:hAnsi="Arial" w:cs="Arial"/>
          <w:b/>
        </w:rPr>
        <w:t>4</w:t>
      </w:r>
      <w:r w:rsidR="009C4475" w:rsidRPr="000D0DF5">
        <w:rPr>
          <w:rFonts w:ascii="Arial" w:hAnsi="Arial" w:cs="Arial"/>
          <w:b/>
        </w:rPr>
        <w:t xml:space="preserve">. září 2020, Praha </w:t>
      </w:r>
      <w:r w:rsidR="00F276BB" w:rsidRPr="000D0DF5">
        <w:rPr>
          <w:rFonts w:ascii="Arial" w:hAnsi="Arial" w:cs="Arial"/>
          <w:b/>
        </w:rPr>
        <w:t xml:space="preserve">| </w:t>
      </w:r>
      <w:r w:rsidR="0082409F" w:rsidRPr="000D0DF5">
        <w:rPr>
          <w:rFonts w:ascii="Arial" w:hAnsi="Arial" w:cs="Arial"/>
          <w:i/>
        </w:rPr>
        <w:t xml:space="preserve">Sociologický ústav AV ČR </w:t>
      </w:r>
      <w:r w:rsidR="00035053" w:rsidRPr="000D0DF5">
        <w:rPr>
          <w:rFonts w:ascii="Arial" w:hAnsi="Arial" w:cs="Arial"/>
          <w:i/>
        </w:rPr>
        <w:t xml:space="preserve">ve spolupráci s Fakultou sociálních věd UK  prováděl dotazování na českých vysokých školách v období </w:t>
      </w:r>
      <w:r w:rsidR="008E567F">
        <w:rPr>
          <w:rFonts w:ascii="Arial" w:hAnsi="Arial" w:cs="Arial"/>
          <w:i/>
        </w:rPr>
        <w:t>konce dubna</w:t>
      </w:r>
      <w:r w:rsidR="00035053" w:rsidRPr="000D0DF5">
        <w:rPr>
          <w:rFonts w:ascii="Arial" w:hAnsi="Arial" w:cs="Arial"/>
          <w:i/>
        </w:rPr>
        <w:t xml:space="preserve"> a května</w:t>
      </w:r>
      <w:r w:rsidR="00F276BB" w:rsidRPr="000D0DF5">
        <w:rPr>
          <w:rFonts w:ascii="Arial" w:hAnsi="Arial" w:cs="Arial"/>
          <w:i/>
        </w:rPr>
        <w:t xml:space="preserve">, kdy </w:t>
      </w:r>
      <w:r w:rsidR="0082409F" w:rsidRPr="000D0DF5">
        <w:rPr>
          <w:rFonts w:ascii="Arial" w:hAnsi="Arial" w:cs="Arial"/>
          <w:i/>
        </w:rPr>
        <w:t>bylo zásadním způsobem omezeno</w:t>
      </w:r>
      <w:r w:rsidR="000D0DF5" w:rsidRPr="000D0DF5">
        <w:rPr>
          <w:rFonts w:ascii="Arial" w:hAnsi="Arial" w:cs="Arial"/>
          <w:i/>
        </w:rPr>
        <w:t xml:space="preserve"> jejich</w:t>
      </w:r>
      <w:r w:rsidR="0082409F" w:rsidRPr="000D0DF5">
        <w:rPr>
          <w:rFonts w:ascii="Arial" w:hAnsi="Arial" w:cs="Arial"/>
          <w:i/>
        </w:rPr>
        <w:t xml:space="preserve"> </w:t>
      </w:r>
      <w:r w:rsidR="00F276BB" w:rsidRPr="000D0DF5">
        <w:rPr>
          <w:rFonts w:ascii="Arial" w:hAnsi="Arial" w:cs="Arial"/>
          <w:i/>
        </w:rPr>
        <w:t>fungování.</w:t>
      </w:r>
      <w:r w:rsidR="007B2612" w:rsidRPr="000D0DF5">
        <w:rPr>
          <w:rFonts w:ascii="Arial" w:hAnsi="Arial" w:cs="Arial"/>
          <w:i/>
        </w:rPr>
        <w:t xml:space="preserve"> Jak </w:t>
      </w:r>
      <w:r w:rsidR="0082409F" w:rsidRPr="000D0DF5">
        <w:rPr>
          <w:rFonts w:ascii="Arial" w:hAnsi="Arial" w:cs="Arial"/>
          <w:i/>
        </w:rPr>
        <w:t>studenty ovlivnila pandemie</w:t>
      </w:r>
      <w:r w:rsidR="007B2612" w:rsidRPr="000D0DF5">
        <w:rPr>
          <w:rFonts w:ascii="Arial" w:hAnsi="Arial" w:cs="Arial"/>
          <w:i/>
        </w:rPr>
        <w:t>?</w:t>
      </w:r>
      <w:r w:rsidR="00F276BB" w:rsidRPr="000D0DF5">
        <w:rPr>
          <w:rFonts w:ascii="Arial" w:hAnsi="Arial" w:cs="Arial"/>
          <w:i/>
        </w:rPr>
        <w:t xml:space="preserve"> Jak se </w:t>
      </w:r>
      <w:r w:rsidR="0082409F" w:rsidRPr="000D0DF5">
        <w:rPr>
          <w:rFonts w:ascii="Arial" w:hAnsi="Arial" w:cs="Arial"/>
          <w:i/>
        </w:rPr>
        <w:t xml:space="preserve">jim podařilo se vypořádat </w:t>
      </w:r>
      <w:r w:rsidR="00F276BB" w:rsidRPr="000D0DF5">
        <w:rPr>
          <w:rFonts w:ascii="Arial" w:hAnsi="Arial" w:cs="Arial"/>
          <w:i/>
        </w:rPr>
        <w:t>s</w:t>
      </w:r>
      <w:r w:rsidR="0082409F" w:rsidRPr="000D0DF5">
        <w:rPr>
          <w:rFonts w:ascii="Arial" w:hAnsi="Arial" w:cs="Arial"/>
          <w:i/>
        </w:rPr>
        <w:t>e zavedenými</w:t>
      </w:r>
      <w:r w:rsidR="00F276BB" w:rsidRPr="000D0DF5">
        <w:rPr>
          <w:rFonts w:ascii="Arial" w:hAnsi="Arial" w:cs="Arial"/>
          <w:i/>
        </w:rPr>
        <w:t xml:space="preserve"> opatřeními? Jak omezení výuky zasáhlo do jejich životů? </w:t>
      </w:r>
      <w:r w:rsidR="000D0DF5" w:rsidRPr="000D0DF5">
        <w:rPr>
          <w:rFonts w:ascii="Arial" w:hAnsi="Arial" w:cs="Arial"/>
          <w:i/>
        </w:rPr>
        <w:t>Na tyto otázky se pokusili odpovědět pracovníci a pracovnice obou zmíněných institucí.</w:t>
      </w:r>
    </w:p>
    <w:p w14:paraId="430CDF86" w14:textId="19FE76E7" w:rsidR="00035053" w:rsidRPr="000D0DF5" w:rsidRDefault="00F276BB" w:rsidP="00F276BB">
      <w:pPr>
        <w:spacing w:after="0" w:line="276" w:lineRule="auto"/>
        <w:jc w:val="both"/>
        <w:rPr>
          <w:rFonts w:ascii="Arial" w:hAnsi="Arial" w:cs="Arial"/>
          <w:b/>
          <w:i/>
        </w:rPr>
      </w:pPr>
      <w:r w:rsidRPr="000D0DF5">
        <w:rPr>
          <w:rFonts w:ascii="Arial" w:hAnsi="Arial" w:cs="Arial"/>
          <w:i/>
        </w:rPr>
        <w:t xml:space="preserve"> </w:t>
      </w:r>
    </w:p>
    <w:p w14:paraId="308A1F65" w14:textId="25F5461E" w:rsidR="00035053" w:rsidRPr="000D0DF5" w:rsidRDefault="000D0DF5" w:rsidP="000D0DF5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 výsledků například vyplývá, že a</w:t>
      </w:r>
      <w:r w:rsidR="00096D4F" w:rsidRPr="000D0DF5">
        <w:rPr>
          <w:rFonts w:ascii="Arial" w:hAnsi="Arial" w:cs="Arial"/>
          <w:i/>
        </w:rPr>
        <w:t>lespoň jednou zdravotní obtíží, která je zároveň rizikovým faktorem při onemocnění COVID-19, trp</w:t>
      </w:r>
      <w:r>
        <w:rPr>
          <w:rFonts w:ascii="Arial" w:hAnsi="Arial" w:cs="Arial"/>
          <w:i/>
        </w:rPr>
        <w:t xml:space="preserve">í </w:t>
      </w:r>
      <w:r w:rsidR="00096D4F" w:rsidRPr="000D0DF5">
        <w:rPr>
          <w:rFonts w:ascii="Arial" w:hAnsi="Arial" w:cs="Arial"/>
          <w:i/>
        </w:rPr>
        <w:t xml:space="preserve">15,5 % respondentů. Studenti v období omezeného fungování </w:t>
      </w:r>
      <w:r>
        <w:rPr>
          <w:rFonts w:ascii="Arial" w:hAnsi="Arial" w:cs="Arial"/>
          <w:i/>
        </w:rPr>
        <w:t>vysokých škol</w:t>
      </w:r>
      <w:r w:rsidR="00F712B5" w:rsidRPr="000D0DF5">
        <w:rPr>
          <w:rFonts w:ascii="Arial" w:hAnsi="Arial" w:cs="Arial"/>
          <w:i/>
        </w:rPr>
        <w:t xml:space="preserve"> indikovali víc</w:t>
      </w:r>
      <w:r>
        <w:rPr>
          <w:rFonts w:ascii="Arial" w:hAnsi="Arial" w:cs="Arial"/>
          <w:i/>
        </w:rPr>
        <w:t>e</w:t>
      </w:r>
      <w:r w:rsidR="00F712B5" w:rsidRPr="000D0DF5">
        <w:rPr>
          <w:rFonts w:ascii="Arial" w:hAnsi="Arial" w:cs="Arial"/>
          <w:i/>
        </w:rPr>
        <w:t xml:space="preserve"> příznaků </w:t>
      </w:r>
      <w:proofErr w:type="spellStart"/>
      <w:r w:rsidR="00F712B5" w:rsidRPr="000D0DF5">
        <w:rPr>
          <w:rFonts w:ascii="Arial" w:hAnsi="Arial" w:cs="Arial"/>
          <w:i/>
        </w:rPr>
        <w:t>depresivity</w:t>
      </w:r>
      <w:proofErr w:type="spellEnd"/>
      <w:r w:rsidR="00096D4F" w:rsidRPr="000D0DF5">
        <w:rPr>
          <w:rFonts w:ascii="Arial" w:hAnsi="Arial" w:cs="Arial"/>
          <w:i/>
        </w:rPr>
        <w:t>, než obecná populace v období před pandemií</w:t>
      </w:r>
      <w:r w:rsidR="008E73EE" w:rsidRPr="000D0DF5">
        <w:rPr>
          <w:rFonts w:ascii="Arial" w:hAnsi="Arial" w:cs="Arial"/>
          <w:i/>
        </w:rPr>
        <w:t xml:space="preserve"> (posun průměru o 0,5 bodu na 4bodové škále)</w:t>
      </w:r>
      <w:r w:rsidR="00096D4F" w:rsidRPr="000D0DF5">
        <w:rPr>
          <w:rFonts w:ascii="Arial" w:hAnsi="Arial" w:cs="Arial"/>
          <w:i/>
        </w:rPr>
        <w:t xml:space="preserve">. </w:t>
      </w:r>
      <w:r w:rsidR="008E73EE" w:rsidRPr="000D0DF5">
        <w:rPr>
          <w:rFonts w:ascii="Arial" w:hAnsi="Arial" w:cs="Arial"/>
          <w:i/>
        </w:rPr>
        <w:t xml:space="preserve">37,5 % </w:t>
      </w:r>
      <w:r>
        <w:rPr>
          <w:rFonts w:ascii="Arial" w:hAnsi="Arial" w:cs="Arial"/>
          <w:i/>
        </w:rPr>
        <w:t xml:space="preserve">vysokoškolských </w:t>
      </w:r>
      <w:r w:rsidR="008E73EE" w:rsidRPr="000D0DF5">
        <w:rPr>
          <w:rFonts w:ascii="Arial" w:hAnsi="Arial" w:cs="Arial"/>
          <w:i/>
        </w:rPr>
        <w:t>studentů v dotazníkovém šetření vykazovalo vysoké hodnoty osamělosti. Podíl studentů s finančními problémy se ze 4,2 %</w:t>
      </w:r>
      <w:r w:rsidR="00F712B5" w:rsidRPr="000D0DF5">
        <w:rPr>
          <w:rFonts w:ascii="Arial" w:hAnsi="Arial" w:cs="Arial"/>
          <w:i/>
        </w:rPr>
        <w:t xml:space="preserve"> před pandemií zvýšil na 14,8 % a třetina studentů (32</w:t>
      </w:r>
      <w:r>
        <w:rPr>
          <w:rFonts w:ascii="Arial" w:hAnsi="Arial" w:cs="Arial"/>
          <w:i/>
        </w:rPr>
        <w:t> </w:t>
      </w:r>
      <w:r w:rsidR="00F712B5" w:rsidRPr="000D0DF5">
        <w:rPr>
          <w:rFonts w:ascii="Arial" w:hAnsi="Arial" w:cs="Arial"/>
          <w:i/>
        </w:rPr>
        <w:t xml:space="preserve"> %) se především z kolejí a pronájmů přestěhovala zpátky k</w:t>
      </w:r>
      <w:r w:rsidRPr="000D0DF5">
        <w:rPr>
          <w:rFonts w:ascii="Arial" w:hAnsi="Arial" w:cs="Arial"/>
          <w:i/>
        </w:rPr>
        <w:t> </w:t>
      </w:r>
      <w:r w:rsidR="00F712B5" w:rsidRPr="000D0DF5">
        <w:rPr>
          <w:rFonts w:ascii="Arial" w:hAnsi="Arial" w:cs="Arial"/>
          <w:i/>
        </w:rPr>
        <w:t>rodičům</w:t>
      </w:r>
      <w:r w:rsidRPr="000D0DF5">
        <w:rPr>
          <w:rFonts w:ascii="Arial" w:hAnsi="Arial" w:cs="Arial"/>
          <w:i/>
        </w:rPr>
        <w:t>.</w:t>
      </w:r>
    </w:p>
    <w:p w14:paraId="554943BC" w14:textId="121E02B7" w:rsidR="008E73EE" w:rsidRPr="000D0DF5" w:rsidRDefault="008E73EE" w:rsidP="00887612">
      <w:pPr>
        <w:spacing w:line="276" w:lineRule="auto"/>
        <w:jc w:val="both"/>
        <w:rPr>
          <w:rFonts w:ascii="Arial" w:hAnsi="Arial" w:cs="Arial"/>
          <w:i/>
        </w:rPr>
      </w:pPr>
      <w:r w:rsidRPr="000D0DF5">
        <w:rPr>
          <w:rFonts w:ascii="Arial" w:hAnsi="Arial" w:cs="Arial"/>
          <w:i/>
        </w:rPr>
        <w:t xml:space="preserve">Zrušení prezenční výuky se projevilo především nárůstem </w:t>
      </w:r>
      <w:r w:rsidR="00BD4C12">
        <w:rPr>
          <w:rFonts w:ascii="Arial" w:hAnsi="Arial" w:cs="Arial"/>
          <w:i/>
        </w:rPr>
        <w:t xml:space="preserve">doby </w:t>
      </w:r>
      <w:r w:rsidRPr="000D0DF5">
        <w:rPr>
          <w:rFonts w:ascii="Arial" w:hAnsi="Arial" w:cs="Arial"/>
          <w:i/>
        </w:rPr>
        <w:t>osobního studia (v průměru o</w:t>
      </w:r>
      <w:r w:rsidR="00EA5C82">
        <w:rPr>
          <w:rFonts w:ascii="Arial" w:hAnsi="Arial" w:cs="Arial"/>
          <w:i/>
        </w:rPr>
        <w:t> </w:t>
      </w:r>
      <w:r w:rsidRPr="000D0DF5">
        <w:rPr>
          <w:rFonts w:ascii="Arial" w:hAnsi="Arial" w:cs="Arial"/>
          <w:i/>
        </w:rPr>
        <w:t>7,8</w:t>
      </w:r>
      <w:r w:rsidR="00BD4C12">
        <w:rPr>
          <w:rFonts w:ascii="Arial" w:hAnsi="Arial" w:cs="Arial"/>
          <w:i/>
        </w:rPr>
        <w:t> </w:t>
      </w:r>
      <w:r w:rsidRPr="000D0DF5">
        <w:rPr>
          <w:rFonts w:ascii="Arial" w:hAnsi="Arial" w:cs="Arial"/>
          <w:i/>
        </w:rPr>
        <w:t xml:space="preserve">hodin týdně). Čím větší nárůst </w:t>
      </w:r>
      <w:r w:rsidR="00BD4C12">
        <w:rPr>
          <w:rFonts w:ascii="Arial" w:hAnsi="Arial" w:cs="Arial"/>
          <w:i/>
        </w:rPr>
        <w:t xml:space="preserve">doby </w:t>
      </w:r>
      <w:r w:rsidRPr="000D0DF5">
        <w:rPr>
          <w:rFonts w:ascii="Arial" w:hAnsi="Arial" w:cs="Arial"/>
          <w:i/>
        </w:rPr>
        <w:t>osobního studia byl, tím větší studijní zatížení a míru stresu</w:t>
      </w:r>
      <w:r w:rsidR="00C3707D" w:rsidRPr="000D0DF5">
        <w:rPr>
          <w:rFonts w:ascii="Arial" w:hAnsi="Arial" w:cs="Arial"/>
          <w:i/>
        </w:rPr>
        <w:t xml:space="preserve"> to pro studenty znamenalo</w:t>
      </w:r>
      <w:r w:rsidRPr="000D0DF5">
        <w:rPr>
          <w:rFonts w:ascii="Arial" w:hAnsi="Arial" w:cs="Arial"/>
          <w:i/>
        </w:rPr>
        <w:t xml:space="preserve">. </w:t>
      </w:r>
      <w:r w:rsidR="00C3707D" w:rsidRPr="000D0DF5">
        <w:rPr>
          <w:rFonts w:ascii="Arial" w:hAnsi="Arial" w:cs="Arial"/>
          <w:i/>
        </w:rPr>
        <w:t xml:space="preserve">Zátěž a míra stresu </w:t>
      </w:r>
      <w:r w:rsidR="0082409F" w:rsidRPr="000D0DF5">
        <w:rPr>
          <w:rFonts w:ascii="Arial" w:hAnsi="Arial" w:cs="Arial"/>
          <w:i/>
        </w:rPr>
        <w:t>u studentů byly</w:t>
      </w:r>
      <w:r w:rsidR="00C3707D" w:rsidRPr="000D0DF5">
        <w:rPr>
          <w:rFonts w:ascii="Arial" w:hAnsi="Arial" w:cs="Arial"/>
          <w:i/>
        </w:rPr>
        <w:t xml:space="preserve"> menší, pokud vysoká škola dokázala výpadek prezenční výuky nahradit online výukou ve větší nebo stejné míře jako osobním studiem.</w:t>
      </w:r>
    </w:p>
    <w:p w14:paraId="0E3B5B98" w14:textId="77777777" w:rsidR="00C3707D" w:rsidRPr="000D0DF5" w:rsidRDefault="00C3707D" w:rsidP="00035053">
      <w:pPr>
        <w:spacing w:line="276" w:lineRule="auto"/>
        <w:rPr>
          <w:rFonts w:ascii="Arial" w:hAnsi="Arial" w:cs="Arial"/>
          <w:i/>
        </w:rPr>
      </w:pPr>
    </w:p>
    <w:p w14:paraId="2A427F0F" w14:textId="32D0A1DD" w:rsidR="00035053" w:rsidRPr="003F4E0B" w:rsidRDefault="00035053" w:rsidP="00035053">
      <w:pPr>
        <w:spacing w:line="276" w:lineRule="auto"/>
        <w:rPr>
          <w:rFonts w:ascii="Arial" w:hAnsi="Arial" w:cs="Arial"/>
          <w:b/>
          <w:sz w:val="24"/>
        </w:rPr>
      </w:pPr>
      <w:r w:rsidRPr="003F4E0B">
        <w:rPr>
          <w:rFonts w:ascii="Arial" w:hAnsi="Arial" w:cs="Arial"/>
          <w:b/>
          <w:sz w:val="24"/>
        </w:rPr>
        <w:t>O projektu</w:t>
      </w:r>
    </w:p>
    <w:p w14:paraId="1D9CEB60" w14:textId="480BB159" w:rsidR="009C4475" w:rsidRDefault="00035053" w:rsidP="00887612">
      <w:pPr>
        <w:spacing w:line="276" w:lineRule="auto"/>
        <w:jc w:val="both"/>
        <w:rPr>
          <w:rFonts w:ascii="Arial" w:hAnsi="Arial" w:cs="Arial"/>
        </w:rPr>
      </w:pPr>
      <w:r w:rsidRPr="000D0DF5">
        <w:rPr>
          <w:rFonts w:ascii="Arial" w:hAnsi="Arial" w:cs="Arial"/>
        </w:rPr>
        <w:t xml:space="preserve">Sociologický ústav AV ČR se ve spolupráci s Fakultou sociálních věd UK zapojil do mezinárodní výzkumné iniciativy </w:t>
      </w:r>
      <w:proofErr w:type="spellStart"/>
      <w:r w:rsidRPr="000D0DF5">
        <w:rPr>
          <w:rFonts w:ascii="Arial" w:hAnsi="Arial" w:cs="Arial"/>
        </w:rPr>
        <w:t>Antwerp</w:t>
      </w:r>
      <w:proofErr w:type="spellEnd"/>
      <w:r w:rsidRPr="000D0DF5">
        <w:rPr>
          <w:rFonts w:ascii="Arial" w:hAnsi="Arial" w:cs="Arial"/>
        </w:rPr>
        <w:t xml:space="preserve"> University </w:t>
      </w:r>
      <w:r w:rsidRPr="000D0DF5">
        <w:rPr>
          <w:rFonts w:ascii="Arial" w:hAnsi="Arial" w:cs="Arial"/>
          <w:b/>
        </w:rPr>
        <w:t xml:space="preserve">COVID-19 International Student </w:t>
      </w:r>
      <w:proofErr w:type="spellStart"/>
      <w:r w:rsidRPr="000D0DF5">
        <w:rPr>
          <w:rFonts w:ascii="Arial" w:hAnsi="Arial" w:cs="Arial"/>
          <w:b/>
        </w:rPr>
        <w:t>Well-Being</w:t>
      </w:r>
      <w:proofErr w:type="spellEnd"/>
      <w:r w:rsidRPr="000D0DF5">
        <w:rPr>
          <w:rFonts w:ascii="Arial" w:hAnsi="Arial" w:cs="Arial"/>
          <w:b/>
        </w:rPr>
        <w:t xml:space="preserve"> Study</w:t>
      </w:r>
      <w:r w:rsidR="00FE2E82">
        <w:rPr>
          <w:rFonts w:ascii="Arial" w:hAnsi="Arial" w:cs="Arial"/>
          <w:b/>
        </w:rPr>
        <w:t xml:space="preserve"> </w:t>
      </w:r>
      <w:r w:rsidR="00FE2E82" w:rsidRPr="00FE2E82">
        <w:rPr>
          <w:rFonts w:ascii="Arial" w:hAnsi="Arial" w:cs="Arial"/>
          <w:b/>
        </w:rPr>
        <w:t>(</w:t>
      </w:r>
      <w:r w:rsidR="00FE2E82" w:rsidRPr="00FE2E82">
        <w:rPr>
          <w:rFonts w:ascii="Arial" w:hAnsi="Arial" w:cs="Arial"/>
          <w:b/>
          <w:sz w:val="20"/>
        </w:rPr>
        <w:t>C19</w:t>
      </w:r>
      <w:r w:rsidR="005040B1">
        <w:rPr>
          <w:rFonts w:ascii="Arial" w:hAnsi="Arial" w:cs="Arial"/>
          <w:b/>
          <w:sz w:val="20"/>
        </w:rPr>
        <w:t> </w:t>
      </w:r>
      <w:r w:rsidR="00FE2E82" w:rsidRPr="00FE2E82">
        <w:rPr>
          <w:rFonts w:ascii="Arial" w:hAnsi="Arial" w:cs="Arial"/>
          <w:b/>
          <w:sz w:val="20"/>
        </w:rPr>
        <w:t>ISWS)</w:t>
      </w:r>
      <w:r w:rsidRPr="000D0DF5">
        <w:rPr>
          <w:rFonts w:ascii="Arial" w:hAnsi="Arial" w:cs="Arial"/>
        </w:rPr>
        <w:t xml:space="preserve">, která se ve spolupráci s 27 zeměmi </w:t>
      </w:r>
      <w:r w:rsidR="000D0DF5" w:rsidRPr="000D0DF5">
        <w:rPr>
          <w:rFonts w:ascii="Arial" w:hAnsi="Arial" w:cs="Arial"/>
        </w:rPr>
        <w:t>zaměř</w:t>
      </w:r>
      <w:r w:rsidR="000D0DF5">
        <w:rPr>
          <w:rFonts w:ascii="Arial" w:hAnsi="Arial" w:cs="Arial"/>
        </w:rPr>
        <w:t>ila</w:t>
      </w:r>
      <w:r w:rsidR="000D0DF5" w:rsidRPr="000D0DF5">
        <w:rPr>
          <w:rFonts w:ascii="Arial" w:hAnsi="Arial" w:cs="Arial"/>
        </w:rPr>
        <w:t xml:space="preserve"> </w:t>
      </w:r>
      <w:r w:rsidRPr="000D0DF5">
        <w:rPr>
          <w:rFonts w:ascii="Arial" w:hAnsi="Arial" w:cs="Arial"/>
        </w:rPr>
        <w:t xml:space="preserve">na vysokoškolské studenty a na to, jak se jich pandemie </w:t>
      </w:r>
      <w:proofErr w:type="spellStart"/>
      <w:r w:rsidR="003F4E0B">
        <w:rPr>
          <w:rFonts w:ascii="Arial" w:hAnsi="Arial" w:cs="Arial"/>
        </w:rPr>
        <w:t>koronaviru</w:t>
      </w:r>
      <w:proofErr w:type="spellEnd"/>
      <w:r w:rsidR="003F4E0B">
        <w:rPr>
          <w:rFonts w:ascii="Arial" w:hAnsi="Arial" w:cs="Arial"/>
        </w:rPr>
        <w:t xml:space="preserve"> </w:t>
      </w:r>
      <w:r w:rsidRPr="000D0DF5">
        <w:rPr>
          <w:rFonts w:ascii="Arial" w:hAnsi="Arial" w:cs="Arial"/>
        </w:rPr>
        <w:t xml:space="preserve">dotkla v oblasti studií, duševní pohody a dalších příbuzných témat. Sběr dat probíhal online od 28. 4. do 19. 5. 2020, v </w:t>
      </w:r>
      <w:r w:rsidR="003F4E0B" w:rsidRPr="000D0DF5">
        <w:rPr>
          <w:rFonts w:ascii="Arial" w:hAnsi="Arial" w:cs="Arial"/>
        </w:rPr>
        <w:t>Č</w:t>
      </w:r>
      <w:r w:rsidR="003F4E0B">
        <w:rPr>
          <w:rFonts w:ascii="Arial" w:hAnsi="Arial" w:cs="Arial"/>
        </w:rPr>
        <w:t>esku</w:t>
      </w:r>
      <w:r w:rsidR="003F4E0B" w:rsidRPr="000D0DF5">
        <w:rPr>
          <w:rFonts w:ascii="Arial" w:hAnsi="Arial" w:cs="Arial"/>
        </w:rPr>
        <w:t xml:space="preserve"> </w:t>
      </w:r>
      <w:r w:rsidRPr="000D0DF5">
        <w:rPr>
          <w:rFonts w:ascii="Arial" w:hAnsi="Arial" w:cs="Arial"/>
        </w:rPr>
        <w:t xml:space="preserve">do něj byli zapojeni studenti </w:t>
      </w:r>
      <w:r w:rsidRPr="000D0DF5">
        <w:rPr>
          <w:rFonts w:ascii="Arial" w:hAnsi="Arial" w:cs="Arial"/>
          <w:b/>
        </w:rPr>
        <w:t>7 univerzit</w:t>
      </w:r>
      <w:r w:rsidRPr="000D0DF5">
        <w:rPr>
          <w:rFonts w:ascii="Arial" w:hAnsi="Arial" w:cs="Arial"/>
        </w:rPr>
        <w:t xml:space="preserve"> (ČZU,</w:t>
      </w:r>
      <w:r w:rsidR="005040B1">
        <w:rPr>
          <w:rFonts w:ascii="Arial" w:hAnsi="Arial" w:cs="Arial"/>
        </w:rPr>
        <w:t> </w:t>
      </w:r>
      <w:r w:rsidRPr="000D0DF5">
        <w:rPr>
          <w:rFonts w:ascii="Arial" w:hAnsi="Arial" w:cs="Arial"/>
        </w:rPr>
        <w:t xml:space="preserve">MU, UHK, UK, UPOL, UTB a VŠE), celkem bylo po prvotním čištění dat získáno </w:t>
      </w:r>
      <w:r w:rsidRPr="000D0DF5">
        <w:rPr>
          <w:rFonts w:ascii="Arial" w:hAnsi="Arial" w:cs="Arial"/>
          <w:b/>
        </w:rPr>
        <w:t>6497</w:t>
      </w:r>
      <w:r w:rsidR="005040B1">
        <w:rPr>
          <w:rFonts w:ascii="Arial" w:hAnsi="Arial" w:cs="Arial"/>
          <w:b/>
        </w:rPr>
        <w:t> </w:t>
      </w:r>
      <w:r w:rsidRPr="000D0DF5">
        <w:rPr>
          <w:rFonts w:ascii="Arial" w:hAnsi="Arial" w:cs="Arial"/>
          <w:b/>
        </w:rPr>
        <w:t>dotazníků</w:t>
      </w:r>
      <w:r w:rsidRPr="000D0DF5">
        <w:rPr>
          <w:rFonts w:ascii="Arial" w:hAnsi="Arial" w:cs="Arial"/>
        </w:rPr>
        <w:t>.</w:t>
      </w:r>
    </w:p>
    <w:p w14:paraId="039F77DB" w14:textId="77777777" w:rsidR="005040B1" w:rsidRPr="000D0DF5" w:rsidRDefault="005040B1" w:rsidP="00887612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1E77EFFB" w14:textId="77777777" w:rsidR="006F6843" w:rsidRPr="003F4E0B" w:rsidRDefault="006F6843" w:rsidP="00887612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3F4E0B">
        <w:rPr>
          <w:rFonts w:ascii="Arial" w:hAnsi="Arial" w:cs="Arial"/>
          <w:b/>
          <w:sz w:val="24"/>
        </w:rPr>
        <w:t xml:space="preserve">Studenti a </w:t>
      </w:r>
      <w:r w:rsidR="002735DE" w:rsidRPr="003F4E0B">
        <w:rPr>
          <w:rFonts w:ascii="Arial" w:hAnsi="Arial" w:cs="Arial"/>
          <w:b/>
          <w:sz w:val="24"/>
        </w:rPr>
        <w:t xml:space="preserve">fyzické </w:t>
      </w:r>
      <w:r w:rsidRPr="003F4E0B">
        <w:rPr>
          <w:rFonts w:ascii="Arial" w:hAnsi="Arial" w:cs="Arial"/>
          <w:b/>
          <w:sz w:val="24"/>
        </w:rPr>
        <w:t>zdraví</w:t>
      </w:r>
    </w:p>
    <w:p w14:paraId="7A3E38A3" w14:textId="1C94EA95" w:rsidR="006F6843" w:rsidRPr="000D0DF5" w:rsidRDefault="006F6843" w:rsidP="000D0DF5">
      <w:pPr>
        <w:spacing w:line="276" w:lineRule="auto"/>
        <w:jc w:val="both"/>
        <w:rPr>
          <w:rFonts w:ascii="Arial" w:hAnsi="Arial" w:cs="Arial"/>
        </w:rPr>
      </w:pPr>
      <w:r w:rsidRPr="000D0DF5">
        <w:rPr>
          <w:rFonts w:ascii="Arial" w:hAnsi="Arial" w:cs="Arial"/>
        </w:rPr>
        <w:t>V souvislosti se zkoumáním dopadů</w:t>
      </w:r>
      <w:r w:rsidR="003F4E0B">
        <w:rPr>
          <w:rFonts w:ascii="Arial" w:hAnsi="Arial" w:cs="Arial"/>
        </w:rPr>
        <w:t xml:space="preserve"> onemocnění</w:t>
      </w:r>
      <w:r w:rsidRPr="000D0DF5">
        <w:rPr>
          <w:rFonts w:ascii="Arial" w:hAnsi="Arial" w:cs="Arial"/>
        </w:rPr>
        <w:t xml:space="preserve"> COVID-19 na studenty je třeba zmínit i jejich </w:t>
      </w:r>
      <w:r w:rsidR="007F4E70" w:rsidRPr="000D0DF5">
        <w:rPr>
          <w:rFonts w:ascii="Arial" w:hAnsi="Arial" w:cs="Arial"/>
        </w:rPr>
        <w:t xml:space="preserve">zdravotní stav. Celkem 5358 </w:t>
      </w:r>
      <w:r w:rsidR="003F4E0B">
        <w:rPr>
          <w:rFonts w:ascii="Arial" w:hAnsi="Arial" w:cs="Arial"/>
        </w:rPr>
        <w:t xml:space="preserve">studentů </w:t>
      </w:r>
      <w:r w:rsidR="007F4E70" w:rsidRPr="000D0DF5">
        <w:rPr>
          <w:rFonts w:ascii="Arial" w:hAnsi="Arial" w:cs="Arial"/>
        </w:rPr>
        <w:t>uv</w:t>
      </w:r>
      <w:r w:rsidR="003F4E0B">
        <w:rPr>
          <w:rFonts w:ascii="Arial" w:hAnsi="Arial" w:cs="Arial"/>
        </w:rPr>
        <w:t>edlo</w:t>
      </w:r>
      <w:r w:rsidR="007F4E70" w:rsidRPr="000D0DF5">
        <w:rPr>
          <w:rFonts w:ascii="Arial" w:hAnsi="Arial" w:cs="Arial"/>
        </w:rPr>
        <w:t>, že netrp</w:t>
      </w:r>
      <w:r w:rsidR="003F4E0B">
        <w:rPr>
          <w:rFonts w:ascii="Arial" w:hAnsi="Arial" w:cs="Arial"/>
        </w:rPr>
        <w:t>ělo</w:t>
      </w:r>
      <w:r w:rsidR="007F4E70" w:rsidRPr="000D0DF5">
        <w:rPr>
          <w:rFonts w:ascii="Arial" w:hAnsi="Arial" w:cs="Arial"/>
        </w:rPr>
        <w:t xml:space="preserve"> žádnou ze zmíněných chorob, v grafu č.</w:t>
      </w:r>
      <w:r w:rsidR="005040B1">
        <w:rPr>
          <w:rFonts w:ascii="Arial" w:hAnsi="Arial" w:cs="Arial"/>
        </w:rPr>
        <w:t> </w:t>
      </w:r>
      <w:r w:rsidR="007F4E70" w:rsidRPr="000D0DF5">
        <w:rPr>
          <w:rFonts w:ascii="Arial" w:hAnsi="Arial" w:cs="Arial"/>
        </w:rPr>
        <w:t>1 jsou zahrnut</w:t>
      </w:r>
      <w:r w:rsidR="005040B1">
        <w:rPr>
          <w:rFonts w:ascii="Arial" w:hAnsi="Arial" w:cs="Arial"/>
        </w:rPr>
        <w:t>í</w:t>
      </w:r>
      <w:r w:rsidR="007F4E70" w:rsidRPr="000D0DF5">
        <w:rPr>
          <w:rFonts w:ascii="Arial" w:hAnsi="Arial" w:cs="Arial"/>
        </w:rPr>
        <w:t xml:space="preserve"> ti, kteří patř</w:t>
      </w:r>
      <w:r w:rsidR="003F4E0B">
        <w:rPr>
          <w:rFonts w:ascii="Arial" w:hAnsi="Arial" w:cs="Arial"/>
        </w:rPr>
        <w:t>ili</w:t>
      </w:r>
      <w:r w:rsidR="007F4E70" w:rsidRPr="000D0DF5">
        <w:rPr>
          <w:rFonts w:ascii="Arial" w:hAnsi="Arial" w:cs="Arial"/>
        </w:rPr>
        <w:t xml:space="preserve"> alespoň do jedné z rizikových </w:t>
      </w:r>
      <w:r w:rsidR="00B81544" w:rsidRPr="000D0DF5">
        <w:rPr>
          <w:rFonts w:ascii="Arial" w:hAnsi="Arial" w:cs="Arial"/>
        </w:rPr>
        <w:t xml:space="preserve">skupin: jedná se o </w:t>
      </w:r>
      <w:r w:rsidR="003F4E0B">
        <w:rPr>
          <w:rFonts w:ascii="Arial" w:hAnsi="Arial" w:cs="Arial"/>
        </w:rPr>
        <w:t>přibližně</w:t>
      </w:r>
      <w:r w:rsidR="003F4E0B" w:rsidRPr="000D0DF5">
        <w:rPr>
          <w:rFonts w:ascii="Arial" w:hAnsi="Arial" w:cs="Arial"/>
        </w:rPr>
        <w:t xml:space="preserve"> </w:t>
      </w:r>
      <w:r w:rsidR="00B81544" w:rsidRPr="000D0DF5">
        <w:rPr>
          <w:rFonts w:ascii="Arial" w:hAnsi="Arial" w:cs="Arial"/>
        </w:rPr>
        <w:t>jednu pětinu</w:t>
      </w:r>
      <w:r w:rsidR="007F4E70" w:rsidRPr="000D0DF5">
        <w:rPr>
          <w:rFonts w:ascii="Arial" w:hAnsi="Arial" w:cs="Arial"/>
        </w:rPr>
        <w:t xml:space="preserve"> odpovědí.</w:t>
      </w:r>
    </w:p>
    <w:p w14:paraId="400FB7DB" w14:textId="3E90644C" w:rsidR="00F864AD" w:rsidRPr="000D0DF5" w:rsidRDefault="006F6843" w:rsidP="000D0DF5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0D0DF5">
        <w:rPr>
          <w:rFonts w:ascii="Arial" w:hAnsi="Arial" w:cs="Arial"/>
          <w:b/>
          <w:sz w:val="20"/>
        </w:rPr>
        <w:lastRenderedPageBreak/>
        <w:t xml:space="preserve">Graf č. 1: </w:t>
      </w:r>
      <w:r w:rsidR="00FD249B" w:rsidRPr="000D0DF5">
        <w:rPr>
          <w:rFonts w:ascii="Arial" w:hAnsi="Arial" w:cs="Arial"/>
          <w:b/>
          <w:sz w:val="20"/>
        </w:rPr>
        <w:t>„</w:t>
      </w:r>
      <w:r w:rsidR="00FD249B" w:rsidRPr="000D0DF5">
        <w:rPr>
          <w:rFonts w:ascii="Arial" w:hAnsi="Arial" w:cs="Arial"/>
          <w:b/>
          <w:i/>
          <w:sz w:val="20"/>
        </w:rPr>
        <w:t xml:space="preserve">Trpíte některými z následujících zdravotních potíží, </w:t>
      </w:r>
      <w:r w:rsidR="000D0DF5" w:rsidRPr="000D0DF5">
        <w:rPr>
          <w:rFonts w:ascii="Arial" w:hAnsi="Arial" w:cs="Arial"/>
          <w:b/>
          <w:i/>
          <w:sz w:val="20"/>
        </w:rPr>
        <w:br/>
      </w:r>
      <w:r w:rsidR="00FD249B" w:rsidRPr="000D0DF5">
        <w:rPr>
          <w:rFonts w:ascii="Arial" w:hAnsi="Arial" w:cs="Arial"/>
          <w:b/>
          <w:i/>
          <w:sz w:val="20"/>
        </w:rPr>
        <w:t xml:space="preserve">které jsou zároveň rizikovými faktory COVID-19?“ </w:t>
      </w:r>
      <w:r w:rsidR="00FD249B" w:rsidRPr="000D0DF5">
        <w:rPr>
          <w:rFonts w:ascii="Arial" w:hAnsi="Arial" w:cs="Arial"/>
          <w:i/>
          <w:sz w:val="20"/>
        </w:rPr>
        <w:t>(výběr z více možností)</w:t>
      </w:r>
      <w:r w:rsidR="009B038D" w:rsidRPr="009B038D">
        <w:rPr>
          <w:noProof/>
          <w:lang w:eastAsia="cs-CZ"/>
        </w:rPr>
        <w:t xml:space="preserve"> </w:t>
      </w:r>
      <w:r w:rsidR="009B038D">
        <w:rPr>
          <w:noProof/>
          <w:lang w:eastAsia="cs-CZ"/>
        </w:rPr>
        <w:drawing>
          <wp:inline distT="0" distB="0" distL="0" distR="0" wp14:anchorId="1A745AE7" wp14:editId="2DE662F1">
            <wp:extent cx="5325110" cy="2384755"/>
            <wp:effectExtent l="0" t="0" r="8890" b="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60D231A" w14:textId="702908D3" w:rsidR="006F6843" w:rsidRPr="000D0DF5" w:rsidRDefault="006F6843" w:rsidP="00FB31FE">
      <w:pPr>
        <w:spacing w:after="0" w:line="276" w:lineRule="auto"/>
        <w:rPr>
          <w:rFonts w:ascii="Arial" w:hAnsi="Arial" w:cs="Arial"/>
          <w:sz w:val="20"/>
        </w:rPr>
      </w:pPr>
      <w:r w:rsidRPr="000D0DF5">
        <w:rPr>
          <w:rFonts w:ascii="Arial" w:hAnsi="Arial" w:cs="Arial"/>
          <w:sz w:val="20"/>
        </w:rPr>
        <w:t xml:space="preserve">N=6497; </w:t>
      </w:r>
      <w:r w:rsidR="00096D4F" w:rsidRPr="000D0DF5">
        <w:rPr>
          <w:rFonts w:ascii="Arial" w:hAnsi="Arial" w:cs="Arial"/>
          <w:sz w:val="20"/>
        </w:rPr>
        <w:t>84,5 %</w:t>
      </w:r>
      <w:r w:rsidRPr="000D0DF5">
        <w:rPr>
          <w:rFonts w:ascii="Arial" w:hAnsi="Arial" w:cs="Arial"/>
          <w:sz w:val="20"/>
        </w:rPr>
        <w:t xml:space="preserve"> studentů uvedlo, že netrpí žádnou ze zmíněných chorob</w:t>
      </w:r>
    </w:p>
    <w:p w14:paraId="31086E6B" w14:textId="77777777" w:rsidR="000B6AC7" w:rsidRPr="000D0DF5" w:rsidRDefault="000B6AC7" w:rsidP="000B6AC7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64C14F3F" w14:textId="77777777" w:rsidR="002735DE" w:rsidRPr="003F4E0B" w:rsidRDefault="002735DE" w:rsidP="002735DE">
      <w:pPr>
        <w:spacing w:line="276" w:lineRule="auto"/>
        <w:rPr>
          <w:rFonts w:ascii="Arial" w:hAnsi="Arial" w:cs="Arial"/>
          <w:b/>
          <w:sz w:val="24"/>
        </w:rPr>
      </w:pPr>
      <w:r w:rsidRPr="003F4E0B">
        <w:rPr>
          <w:rFonts w:ascii="Arial" w:hAnsi="Arial" w:cs="Arial"/>
          <w:b/>
          <w:sz w:val="24"/>
        </w:rPr>
        <w:t>Studenti a psychické zdraví</w:t>
      </w:r>
    </w:p>
    <w:p w14:paraId="72B92EF5" w14:textId="318B3111" w:rsidR="00FB31FE" w:rsidRPr="000D0DF5" w:rsidRDefault="002735DE" w:rsidP="00E97027">
      <w:pPr>
        <w:spacing w:line="276" w:lineRule="auto"/>
        <w:jc w:val="both"/>
        <w:rPr>
          <w:rFonts w:ascii="Arial" w:hAnsi="Arial" w:cs="Arial"/>
        </w:rPr>
      </w:pPr>
      <w:r w:rsidRPr="000D0DF5">
        <w:rPr>
          <w:rFonts w:ascii="Arial" w:hAnsi="Arial" w:cs="Arial"/>
        </w:rPr>
        <w:t xml:space="preserve">Jak napovídá název samotné studie, důraz byl kladen na </w:t>
      </w:r>
      <w:r w:rsidR="003F4E0B">
        <w:rPr>
          <w:rFonts w:ascii="Arial" w:hAnsi="Arial" w:cs="Arial"/>
        </w:rPr>
        <w:t>tělesnou, duševní a společenskou pohodu</w:t>
      </w:r>
      <w:r w:rsidRPr="000D0DF5">
        <w:rPr>
          <w:rFonts w:ascii="Arial" w:hAnsi="Arial" w:cs="Arial"/>
        </w:rPr>
        <w:t xml:space="preserve"> studentů. Situace během období nejpřísnějších opatření s sebou </w:t>
      </w:r>
      <w:r w:rsidR="003F4E0B">
        <w:rPr>
          <w:rFonts w:ascii="Arial" w:hAnsi="Arial" w:cs="Arial"/>
        </w:rPr>
        <w:t xml:space="preserve">totiž </w:t>
      </w:r>
      <w:r w:rsidRPr="000D0DF5">
        <w:rPr>
          <w:rFonts w:ascii="Arial" w:hAnsi="Arial" w:cs="Arial"/>
        </w:rPr>
        <w:t xml:space="preserve">přinesla i značnou psychickou zátěž. </w:t>
      </w:r>
    </w:p>
    <w:p w14:paraId="14B2EF75" w14:textId="175C1682" w:rsidR="00FB31FE" w:rsidRPr="000D0DF5" w:rsidRDefault="000D2667" w:rsidP="00E97027">
      <w:pPr>
        <w:spacing w:line="276" w:lineRule="auto"/>
        <w:jc w:val="both"/>
        <w:rPr>
          <w:rFonts w:ascii="Arial" w:hAnsi="Arial" w:cs="Arial"/>
        </w:rPr>
      </w:pPr>
      <w:r w:rsidRPr="000D0DF5">
        <w:rPr>
          <w:rFonts w:ascii="Arial" w:hAnsi="Arial" w:cs="Arial"/>
        </w:rPr>
        <w:t>V grafu č. 2</w:t>
      </w:r>
      <w:r w:rsidR="002735DE" w:rsidRPr="000D0DF5">
        <w:rPr>
          <w:rFonts w:ascii="Arial" w:hAnsi="Arial" w:cs="Arial"/>
        </w:rPr>
        <w:t xml:space="preserve"> je vyobrazen součtový index osmi položek škály</w:t>
      </w:r>
      <w:r w:rsidR="00F712B5" w:rsidRPr="000D0DF5">
        <w:rPr>
          <w:rFonts w:ascii="Arial" w:hAnsi="Arial" w:cs="Arial"/>
        </w:rPr>
        <w:t xml:space="preserve"> </w:t>
      </w:r>
      <w:proofErr w:type="spellStart"/>
      <w:r w:rsidR="00F712B5" w:rsidRPr="000D0DF5">
        <w:rPr>
          <w:rFonts w:ascii="Arial" w:hAnsi="Arial" w:cs="Arial"/>
        </w:rPr>
        <w:t>depresivity</w:t>
      </w:r>
      <w:proofErr w:type="spellEnd"/>
      <w:r w:rsidR="002735DE" w:rsidRPr="000D0DF5">
        <w:rPr>
          <w:rFonts w:ascii="Arial" w:hAnsi="Arial" w:cs="Arial"/>
        </w:rPr>
        <w:t xml:space="preserve"> z</w:t>
      </w:r>
      <w:r w:rsidR="003F4E0B">
        <w:rPr>
          <w:rFonts w:ascii="Arial" w:hAnsi="Arial" w:cs="Arial"/>
        </w:rPr>
        <w:t> Evropského sociálního výzkumu (</w:t>
      </w:r>
      <w:r w:rsidR="002735DE" w:rsidRPr="000D0DF5">
        <w:rPr>
          <w:rFonts w:ascii="Arial" w:hAnsi="Arial" w:cs="Arial"/>
        </w:rPr>
        <w:t>ESS</w:t>
      </w:r>
      <w:r w:rsidR="003F4E0B">
        <w:rPr>
          <w:rFonts w:ascii="Arial" w:hAnsi="Arial" w:cs="Arial"/>
        </w:rPr>
        <w:t>)</w:t>
      </w:r>
      <w:r w:rsidR="002735DE" w:rsidRPr="000D0DF5">
        <w:rPr>
          <w:rFonts w:ascii="Arial" w:hAnsi="Arial" w:cs="Arial"/>
        </w:rPr>
        <w:t xml:space="preserve"> (pocit smutku, frustrace, úzkosti, izolace, …)</w:t>
      </w:r>
      <w:r w:rsidR="00D607BA" w:rsidRPr="000D0DF5">
        <w:rPr>
          <w:rFonts w:ascii="Arial" w:hAnsi="Arial" w:cs="Arial"/>
        </w:rPr>
        <w:t xml:space="preserve">. </w:t>
      </w:r>
      <w:r w:rsidR="003F4E0B">
        <w:rPr>
          <w:rFonts w:ascii="Arial" w:hAnsi="Arial" w:cs="Arial"/>
        </w:rPr>
        <w:t>Autoři výzkumu s</w:t>
      </w:r>
      <w:r w:rsidR="00D607BA" w:rsidRPr="000D0DF5">
        <w:rPr>
          <w:rFonts w:ascii="Arial" w:hAnsi="Arial" w:cs="Arial"/>
        </w:rPr>
        <w:t>rovnali nejnovější dostupná data české obecné populace (ESS 7, 2014) s </w:t>
      </w:r>
      <w:r w:rsidR="003F4E0B">
        <w:rPr>
          <w:rFonts w:ascii="Arial" w:hAnsi="Arial" w:cs="Arial"/>
        </w:rPr>
        <w:t xml:space="preserve">nově sebranými daty </w:t>
      </w:r>
      <w:r w:rsidR="00D607BA" w:rsidRPr="000D0DF5">
        <w:rPr>
          <w:rFonts w:ascii="Arial" w:hAnsi="Arial" w:cs="Arial"/>
        </w:rPr>
        <w:t xml:space="preserve">týkajícími se </w:t>
      </w:r>
      <w:r w:rsidR="003F4E0B">
        <w:rPr>
          <w:rFonts w:ascii="Arial" w:hAnsi="Arial" w:cs="Arial"/>
        </w:rPr>
        <w:t xml:space="preserve">vysokoškolských </w:t>
      </w:r>
      <w:r w:rsidR="00D607BA" w:rsidRPr="000D0DF5">
        <w:rPr>
          <w:rFonts w:ascii="Arial" w:hAnsi="Arial" w:cs="Arial"/>
        </w:rPr>
        <w:t xml:space="preserve"> studentů. Zdá se, že studenti měli v období na konci d</w:t>
      </w:r>
      <w:r w:rsidR="00F30686" w:rsidRPr="000D0DF5">
        <w:rPr>
          <w:rFonts w:ascii="Arial" w:hAnsi="Arial" w:cs="Arial"/>
        </w:rPr>
        <w:t>u</w:t>
      </w:r>
      <w:r w:rsidR="00D607BA" w:rsidRPr="000D0DF5">
        <w:rPr>
          <w:rFonts w:ascii="Arial" w:hAnsi="Arial" w:cs="Arial"/>
        </w:rPr>
        <w:t>bna</w:t>
      </w:r>
      <w:r w:rsidR="003F4E0B">
        <w:rPr>
          <w:rFonts w:ascii="Arial" w:hAnsi="Arial" w:cs="Arial"/>
        </w:rPr>
        <w:t xml:space="preserve"> a </w:t>
      </w:r>
      <w:r w:rsidR="00D607BA" w:rsidRPr="000D0DF5">
        <w:rPr>
          <w:rFonts w:ascii="Arial" w:hAnsi="Arial" w:cs="Arial"/>
        </w:rPr>
        <w:t>začátku května roku 2020 v průměru větší sklon k </w:t>
      </w:r>
      <w:proofErr w:type="spellStart"/>
      <w:r w:rsidR="00D607BA" w:rsidRPr="000D0DF5">
        <w:rPr>
          <w:rFonts w:ascii="Arial" w:hAnsi="Arial" w:cs="Arial"/>
        </w:rPr>
        <w:t>depresi</w:t>
      </w:r>
      <w:r w:rsidR="00887612">
        <w:rPr>
          <w:rFonts w:ascii="Arial" w:hAnsi="Arial" w:cs="Arial"/>
        </w:rPr>
        <w:t>vitě</w:t>
      </w:r>
      <w:proofErr w:type="spellEnd"/>
      <w:r w:rsidR="00D607BA" w:rsidRPr="000D0DF5">
        <w:rPr>
          <w:rFonts w:ascii="Arial" w:hAnsi="Arial" w:cs="Arial"/>
        </w:rPr>
        <w:t>, než</w:t>
      </w:r>
      <w:r w:rsidR="003F4E0B">
        <w:rPr>
          <w:rFonts w:ascii="Arial" w:hAnsi="Arial" w:cs="Arial"/>
        </w:rPr>
        <w:t xml:space="preserve"> celá</w:t>
      </w:r>
      <w:r w:rsidR="00D607BA" w:rsidRPr="000D0DF5">
        <w:rPr>
          <w:rFonts w:ascii="Arial" w:hAnsi="Arial" w:cs="Arial"/>
        </w:rPr>
        <w:t xml:space="preserve"> </w:t>
      </w:r>
      <w:r w:rsidR="00F30686" w:rsidRPr="000D0DF5">
        <w:rPr>
          <w:rFonts w:ascii="Arial" w:hAnsi="Arial" w:cs="Arial"/>
        </w:rPr>
        <w:t xml:space="preserve">populace </w:t>
      </w:r>
      <w:r w:rsidR="000E26F8" w:rsidRPr="000D0DF5">
        <w:rPr>
          <w:rFonts w:ascii="Arial" w:hAnsi="Arial" w:cs="Arial"/>
        </w:rPr>
        <w:t>z</w:t>
      </w:r>
      <w:r w:rsidRPr="000D0DF5">
        <w:rPr>
          <w:rFonts w:ascii="Arial" w:hAnsi="Arial" w:cs="Arial"/>
        </w:rPr>
        <w:t>a</w:t>
      </w:r>
      <w:r w:rsidR="00F30686" w:rsidRPr="000D0DF5">
        <w:rPr>
          <w:rFonts w:ascii="Arial" w:hAnsi="Arial" w:cs="Arial"/>
        </w:rPr>
        <w:t xml:space="preserve"> běžné situace.</w:t>
      </w:r>
    </w:p>
    <w:p w14:paraId="0A7C1F04" w14:textId="4F3E3A7A" w:rsidR="0062236B" w:rsidRPr="000D0DF5" w:rsidRDefault="000D2667" w:rsidP="000D0DF5">
      <w:pPr>
        <w:spacing w:after="0" w:line="276" w:lineRule="auto"/>
        <w:jc w:val="both"/>
        <w:rPr>
          <w:rFonts w:ascii="Arial" w:hAnsi="Arial" w:cs="Arial"/>
          <w:b/>
          <w:iCs/>
          <w:sz w:val="20"/>
          <w:szCs w:val="20"/>
          <w:shd w:val="clear" w:color="auto" w:fill="FFFFFF"/>
        </w:rPr>
      </w:pPr>
      <w:r w:rsidRPr="000D0DF5">
        <w:rPr>
          <w:rFonts w:ascii="Arial" w:hAnsi="Arial" w:cs="Arial"/>
          <w:b/>
          <w:sz w:val="20"/>
        </w:rPr>
        <w:t>Graf č. 2</w:t>
      </w:r>
      <w:r w:rsidR="00896EDE" w:rsidRPr="000D0DF5">
        <w:rPr>
          <w:rFonts w:ascii="Arial" w:hAnsi="Arial" w:cs="Arial"/>
          <w:b/>
          <w:sz w:val="20"/>
        </w:rPr>
        <w:t xml:space="preserve">: </w:t>
      </w:r>
      <w:r w:rsidR="00896EDE" w:rsidRPr="000D0DF5">
        <w:rPr>
          <w:rFonts w:ascii="Arial" w:hAnsi="Arial" w:cs="Arial"/>
          <w:b/>
          <w:sz w:val="20"/>
          <w:szCs w:val="20"/>
        </w:rPr>
        <w:t>Histogram</w:t>
      </w:r>
      <w:r w:rsidR="00D607BA" w:rsidRPr="000D0DF5">
        <w:rPr>
          <w:rFonts w:ascii="Arial" w:hAnsi="Arial" w:cs="Arial"/>
          <w:b/>
          <w:sz w:val="20"/>
          <w:szCs w:val="20"/>
        </w:rPr>
        <w:t>y</w:t>
      </w:r>
      <w:r w:rsidR="00896EDE" w:rsidRPr="000D0DF5">
        <w:rPr>
          <w:rFonts w:ascii="Arial" w:hAnsi="Arial" w:cs="Arial"/>
          <w:b/>
          <w:sz w:val="20"/>
          <w:szCs w:val="20"/>
        </w:rPr>
        <w:t xml:space="preserve"> součtové</w:t>
      </w:r>
      <w:r w:rsidR="002735DE" w:rsidRPr="000D0DF5">
        <w:rPr>
          <w:rFonts w:ascii="Arial" w:hAnsi="Arial" w:cs="Arial"/>
          <w:b/>
          <w:sz w:val="20"/>
          <w:szCs w:val="20"/>
        </w:rPr>
        <w:t xml:space="preserve">ho indexu škály </w:t>
      </w:r>
      <w:proofErr w:type="spellStart"/>
      <w:r w:rsidR="009000E6" w:rsidRPr="000D0DF5">
        <w:rPr>
          <w:rFonts w:ascii="Arial" w:hAnsi="Arial" w:cs="Arial"/>
          <w:b/>
          <w:sz w:val="20"/>
          <w:szCs w:val="20"/>
        </w:rPr>
        <w:t>depresivity</w:t>
      </w:r>
      <w:proofErr w:type="spellEnd"/>
      <w:r w:rsidR="00896EDE" w:rsidRPr="000D0DF5">
        <w:rPr>
          <w:rFonts w:ascii="Arial" w:hAnsi="Arial" w:cs="Arial"/>
          <w:b/>
          <w:sz w:val="20"/>
          <w:szCs w:val="20"/>
        </w:rPr>
        <w:t xml:space="preserve"> </w:t>
      </w:r>
      <w:r w:rsidR="00896EDE" w:rsidRPr="000D0DF5">
        <w:rPr>
          <w:rFonts w:ascii="Arial" w:hAnsi="Arial" w:cs="Arial"/>
          <w:b/>
          <w:iCs/>
          <w:sz w:val="20"/>
          <w:szCs w:val="20"/>
          <w:shd w:val="clear" w:color="auto" w:fill="FFFFFF"/>
        </w:rPr>
        <w:t xml:space="preserve">CES-D 8 (1 = malý sklon k </w:t>
      </w:r>
      <w:proofErr w:type="spellStart"/>
      <w:r w:rsidR="00896EDE" w:rsidRPr="000D0DF5">
        <w:rPr>
          <w:rFonts w:ascii="Arial" w:hAnsi="Arial" w:cs="Arial"/>
          <w:b/>
          <w:iCs/>
          <w:sz w:val="20"/>
          <w:szCs w:val="20"/>
          <w:shd w:val="clear" w:color="auto" w:fill="FFFFFF"/>
        </w:rPr>
        <w:t>depresi</w:t>
      </w:r>
      <w:r w:rsidR="00FE2E82">
        <w:rPr>
          <w:rFonts w:ascii="Arial" w:hAnsi="Arial" w:cs="Arial"/>
          <w:b/>
          <w:iCs/>
          <w:sz w:val="20"/>
          <w:szCs w:val="20"/>
          <w:shd w:val="clear" w:color="auto" w:fill="FFFFFF"/>
        </w:rPr>
        <w:t>vitě</w:t>
      </w:r>
      <w:proofErr w:type="spellEnd"/>
      <w:r w:rsidR="00896EDE" w:rsidRPr="000D0DF5">
        <w:rPr>
          <w:rFonts w:ascii="Arial" w:hAnsi="Arial" w:cs="Arial"/>
          <w:b/>
          <w:iCs/>
          <w:sz w:val="20"/>
          <w:szCs w:val="20"/>
          <w:shd w:val="clear" w:color="auto" w:fill="FFFFFF"/>
        </w:rPr>
        <w:t>, 4 = velký)</w:t>
      </w:r>
      <w:r w:rsidR="00D607BA" w:rsidRPr="000D0DF5">
        <w:rPr>
          <w:rFonts w:ascii="Arial" w:hAnsi="Arial" w:cs="Arial"/>
          <w:b/>
          <w:iCs/>
          <w:sz w:val="20"/>
          <w:szCs w:val="20"/>
          <w:shd w:val="clear" w:color="auto" w:fill="FFFFFF"/>
        </w:rPr>
        <w:t xml:space="preserve"> – </w:t>
      </w:r>
      <w:r w:rsidR="00D607BA" w:rsidRPr="000D0DF5">
        <w:rPr>
          <w:rFonts w:ascii="Arial" w:hAnsi="Arial" w:cs="Arial"/>
          <w:bCs/>
          <w:iCs/>
          <w:sz w:val="20"/>
          <w:szCs w:val="20"/>
          <w:shd w:val="clear" w:color="auto" w:fill="FFFFFF"/>
        </w:rPr>
        <w:t xml:space="preserve">srovnání mezi obecnou českou populací z roku 2014 </w:t>
      </w:r>
      <w:r w:rsidR="00622F5B" w:rsidRPr="000D0DF5">
        <w:rPr>
          <w:rFonts w:ascii="Arial" w:hAnsi="Arial" w:cs="Arial"/>
          <w:bCs/>
          <w:iCs/>
          <w:sz w:val="20"/>
          <w:szCs w:val="20"/>
          <w:shd w:val="clear" w:color="auto" w:fill="FFFFFF"/>
        </w:rPr>
        <w:t xml:space="preserve">(vlevo) </w:t>
      </w:r>
      <w:r w:rsidR="00D607BA" w:rsidRPr="000D0DF5">
        <w:rPr>
          <w:rFonts w:ascii="Arial" w:hAnsi="Arial" w:cs="Arial"/>
          <w:bCs/>
          <w:iCs/>
          <w:sz w:val="20"/>
          <w:szCs w:val="20"/>
          <w:shd w:val="clear" w:color="auto" w:fill="FFFFFF"/>
        </w:rPr>
        <w:t>a českými VŠ studenty z</w:t>
      </w:r>
      <w:r w:rsidR="00622F5B" w:rsidRPr="000D0DF5">
        <w:rPr>
          <w:rFonts w:ascii="Arial" w:hAnsi="Arial" w:cs="Arial"/>
          <w:bCs/>
          <w:iCs/>
          <w:sz w:val="20"/>
          <w:szCs w:val="20"/>
          <w:shd w:val="clear" w:color="auto" w:fill="FFFFFF"/>
        </w:rPr>
        <w:t> </w:t>
      </w:r>
      <w:r w:rsidR="00D607BA" w:rsidRPr="000D0DF5">
        <w:rPr>
          <w:rFonts w:ascii="Arial" w:hAnsi="Arial" w:cs="Arial"/>
          <w:bCs/>
          <w:iCs/>
          <w:sz w:val="20"/>
          <w:szCs w:val="20"/>
          <w:shd w:val="clear" w:color="auto" w:fill="FFFFFF"/>
        </w:rPr>
        <w:t>2020</w:t>
      </w:r>
      <w:r w:rsidR="00622F5B" w:rsidRPr="000D0DF5">
        <w:rPr>
          <w:rFonts w:ascii="Arial" w:hAnsi="Arial" w:cs="Arial"/>
          <w:bCs/>
          <w:iCs/>
          <w:sz w:val="20"/>
          <w:szCs w:val="20"/>
          <w:shd w:val="clear" w:color="auto" w:fill="FFFFFF"/>
        </w:rPr>
        <w:t xml:space="preserve"> (vpravo</w:t>
      </w:r>
      <w:r w:rsidR="000E26F8" w:rsidRPr="000D0DF5">
        <w:rPr>
          <w:rFonts w:ascii="Arial" w:hAnsi="Arial" w:cs="Arial"/>
          <w:bCs/>
          <w:iCs/>
          <w:sz w:val="20"/>
          <w:szCs w:val="20"/>
          <w:shd w:val="clear" w:color="auto" w:fill="FFFFFF"/>
        </w:rPr>
        <w:t>)</w:t>
      </w:r>
    </w:p>
    <w:p w14:paraId="56BE87D6" w14:textId="6DE8C58F" w:rsidR="00DE76D7" w:rsidRPr="000D0DF5" w:rsidRDefault="0082409F" w:rsidP="000D26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0DF5">
        <w:rPr>
          <w:rFonts w:ascii="Arial" w:hAnsi="Arial" w:cs="Arial"/>
          <w:noProof/>
          <w:lang w:eastAsia="cs-CZ"/>
        </w:rPr>
        <w:drawing>
          <wp:inline distT="0" distB="0" distL="0" distR="0" wp14:anchorId="64CB6689" wp14:editId="4A3E19D0">
            <wp:extent cx="3061252" cy="2097385"/>
            <wp:effectExtent l="0" t="0" r="6350" b="0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t="8037" r="22733" b="2260"/>
                    <a:stretch/>
                  </pic:blipFill>
                  <pic:spPr bwMode="auto">
                    <a:xfrm>
                      <a:off x="0" y="0"/>
                      <a:ext cx="3084712" cy="2113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D0DF5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7BE60BF6" wp14:editId="18D8595F">
            <wp:extent cx="3053301" cy="2146644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" t="6506" r="22994" b="2373"/>
                    <a:stretch/>
                  </pic:blipFill>
                  <pic:spPr bwMode="auto">
                    <a:xfrm>
                      <a:off x="0" y="0"/>
                      <a:ext cx="3066766" cy="215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F2DD3" w14:textId="293E98F8" w:rsidR="000D2667" w:rsidRPr="000D0DF5" w:rsidRDefault="00D607BA" w:rsidP="00D607BA">
      <w:pPr>
        <w:spacing w:after="0" w:line="276" w:lineRule="auto"/>
        <w:rPr>
          <w:rFonts w:ascii="Arial" w:hAnsi="Arial" w:cs="Arial"/>
          <w:sz w:val="18"/>
        </w:rPr>
      </w:pPr>
      <w:r w:rsidRPr="000D0DF5">
        <w:rPr>
          <w:rFonts w:ascii="Arial" w:hAnsi="Arial" w:cs="Arial"/>
          <w:sz w:val="20"/>
        </w:rPr>
        <w:t>Zdroj: ESS 7, Česká republika</w:t>
      </w:r>
      <w:r w:rsidR="000D2667" w:rsidRPr="000D0DF5">
        <w:rPr>
          <w:rFonts w:ascii="Arial" w:hAnsi="Arial" w:cs="Arial"/>
          <w:sz w:val="20"/>
        </w:rPr>
        <w:t>, váženo</w:t>
      </w:r>
      <w:r w:rsidRPr="000D0DF5">
        <w:rPr>
          <w:rFonts w:ascii="Arial" w:hAnsi="Arial" w:cs="Arial"/>
          <w:sz w:val="20"/>
        </w:rPr>
        <w:tab/>
      </w:r>
      <w:r w:rsidRPr="000D0DF5">
        <w:rPr>
          <w:rFonts w:ascii="Arial" w:hAnsi="Arial" w:cs="Arial"/>
          <w:sz w:val="20"/>
        </w:rPr>
        <w:tab/>
      </w:r>
      <w:r w:rsidRPr="000D0DF5">
        <w:rPr>
          <w:rFonts w:ascii="Arial" w:hAnsi="Arial" w:cs="Arial"/>
          <w:sz w:val="20"/>
        </w:rPr>
        <w:tab/>
      </w:r>
      <w:r w:rsidRPr="000D0DF5">
        <w:rPr>
          <w:rFonts w:ascii="Arial" w:hAnsi="Arial" w:cs="Arial"/>
          <w:sz w:val="20"/>
        </w:rPr>
        <w:tab/>
        <w:t>Zdroj: C19 ISWS</w:t>
      </w:r>
    </w:p>
    <w:p w14:paraId="4B0CA7F9" w14:textId="49AB8E7E" w:rsidR="000D2667" w:rsidRPr="000D0DF5" w:rsidRDefault="000D2667" w:rsidP="00D607BA">
      <w:pPr>
        <w:spacing w:after="0" w:line="276" w:lineRule="auto"/>
        <w:rPr>
          <w:rFonts w:ascii="Arial" w:hAnsi="Arial" w:cs="Arial"/>
          <w:sz w:val="18"/>
        </w:rPr>
      </w:pPr>
    </w:p>
    <w:p w14:paraId="3066A368" w14:textId="77777777" w:rsidR="000D2667" w:rsidRPr="000D0DF5" w:rsidRDefault="000D2667" w:rsidP="00D607BA">
      <w:pPr>
        <w:spacing w:after="0" w:line="276" w:lineRule="auto"/>
        <w:rPr>
          <w:rFonts w:ascii="Arial" w:hAnsi="Arial" w:cs="Arial"/>
          <w:sz w:val="18"/>
        </w:rPr>
      </w:pPr>
    </w:p>
    <w:p w14:paraId="03FF8AF4" w14:textId="2AF1D335" w:rsidR="000D2667" w:rsidRPr="000D0DF5" w:rsidRDefault="000D2667" w:rsidP="000D0DF5">
      <w:pPr>
        <w:spacing w:after="0" w:line="276" w:lineRule="auto"/>
        <w:jc w:val="both"/>
        <w:rPr>
          <w:rFonts w:ascii="Arial" w:hAnsi="Arial" w:cs="Arial"/>
        </w:rPr>
      </w:pPr>
      <w:r w:rsidRPr="000D0DF5">
        <w:rPr>
          <w:rFonts w:ascii="Arial" w:hAnsi="Arial" w:cs="Arial"/>
        </w:rPr>
        <w:t>Kromě</w:t>
      </w:r>
      <w:r w:rsidR="00F712B5" w:rsidRPr="000D0DF5">
        <w:rPr>
          <w:rFonts w:ascii="Arial" w:hAnsi="Arial" w:cs="Arial"/>
        </w:rPr>
        <w:t xml:space="preserve"> </w:t>
      </w:r>
      <w:proofErr w:type="spellStart"/>
      <w:r w:rsidR="00F712B5" w:rsidRPr="000D0DF5">
        <w:rPr>
          <w:rFonts w:ascii="Arial" w:hAnsi="Arial" w:cs="Arial"/>
        </w:rPr>
        <w:t>depresivity</w:t>
      </w:r>
      <w:proofErr w:type="spellEnd"/>
      <w:r w:rsidRPr="000D0DF5">
        <w:rPr>
          <w:rFonts w:ascii="Arial" w:hAnsi="Arial" w:cs="Arial"/>
        </w:rPr>
        <w:t xml:space="preserve"> </w:t>
      </w:r>
      <w:r w:rsidR="00FE2E82">
        <w:rPr>
          <w:rFonts w:ascii="Arial" w:hAnsi="Arial" w:cs="Arial"/>
        </w:rPr>
        <w:t xml:space="preserve">došlo také k měření </w:t>
      </w:r>
      <w:r w:rsidR="003F4E0B">
        <w:rPr>
          <w:rFonts w:ascii="Arial" w:hAnsi="Arial" w:cs="Arial"/>
        </w:rPr>
        <w:t>pocitu</w:t>
      </w:r>
      <w:r w:rsidR="00887612">
        <w:rPr>
          <w:rFonts w:ascii="Arial" w:hAnsi="Arial" w:cs="Arial"/>
        </w:rPr>
        <w:t xml:space="preserve"> </w:t>
      </w:r>
      <w:r w:rsidRPr="000D0DF5">
        <w:rPr>
          <w:rFonts w:ascii="Arial" w:hAnsi="Arial" w:cs="Arial"/>
        </w:rPr>
        <w:t>osamělost</w:t>
      </w:r>
      <w:r w:rsidR="003F4E0B">
        <w:rPr>
          <w:rFonts w:ascii="Arial" w:hAnsi="Arial" w:cs="Arial"/>
        </w:rPr>
        <w:t>i</w:t>
      </w:r>
      <w:r w:rsidRPr="000D0DF5">
        <w:rPr>
          <w:rFonts w:ascii="Arial" w:hAnsi="Arial" w:cs="Arial"/>
        </w:rPr>
        <w:t xml:space="preserve"> (graf č. </w:t>
      </w:r>
      <w:r w:rsidR="002C6A68">
        <w:rPr>
          <w:rFonts w:ascii="Arial" w:hAnsi="Arial" w:cs="Arial"/>
        </w:rPr>
        <w:t>3</w:t>
      </w:r>
      <w:r w:rsidRPr="000D0DF5">
        <w:rPr>
          <w:rFonts w:ascii="Arial" w:hAnsi="Arial" w:cs="Arial"/>
        </w:rPr>
        <w:t>)</w:t>
      </w:r>
      <w:r w:rsidR="00BD4C12">
        <w:rPr>
          <w:rFonts w:ascii="Arial" w:hAnsi="Arial" w:cs="Arial"/>
        </w:rPr>
        <w:t xml:space="preserve">. </w:t>
      </w:r>
      <w:r w:rsidRPr="000D0DF5">
        <w:rPr>
          <w:rFonts w:ascii="Arial" w:hAnsi="Arial" w:cs="Arial"/>
        </w:rPr>
        <w:t xml:space="preserve">37,5 % vysokoškolských studentů </w:t>
      </w:r>
      <w:r w:rsidR="00BD4C12">
        <w:rPr>
          <w:rFonts w:ascii="Arial" w:hAnsi="Arial" w:cs="Arial"/>
        </w:rPr>
        <w:t xml:space="preserve">se </w:t>
      </w:r>
      <w:r w:rsidRPr="000D0DF5">
        <w:rPr>
          <w:rFonts w:ascii="Arial" w:hAnsi="Arial" w:cs="Arial"/>
        </w:rPr>
        <w:t>podle škály osamělosti</w:t>
      </w:r>
      <w:r w:rsidR="00887612">
        <w:rPr>
          <w:rFonts w:ascii="Arial" w:hAnsi="Arial" w:cs="Arial"/>
        </w:rPr>
        <w:t xml:space="preserve"> Kalifornské univerzity v Los Angeles</w:t>
      </w:r>
      <w:r w:rsidRPr="000D0DF5">
        <w:rPr>
          <w:rFonts w:ascii="Arial" w:hAnsi="Arial" w:cs="Arial"/>
        </w:rPr>
        <w:t xml:space="preserve"> </w:t>
      </w:r>
      <w:r w:rsidR="00887612">
        <w:rPr>
          <w:rFonts w:ascii="Arial" w:hAnsi="Arial" w:cs="Arial"/>
        </w:rPr>
        <w:t>(</w:t>
      </w:r>
      <w:r w:rsidRPr="000D0DF5">
        <w:rPr>
          <w:rFonts w:ascii="Arial" w:hAnsi="Arial" w:cs="Arial"/>
        </w:rPr>
        <w:t>UCLA</w:t>
      </w:r>
      <w:r w:rsidR="00887612">
        <w:rPr>
          <w:rFonts w:ascii="Arial" w:hAnsi="Arial" w:cs="Arial"/>
        </w:rPr>
        <w:t>)</w:t>
      </w:r>
      <w:r w:rsidRPr="000D0DF5">
        <w:rPr>
          <w:rFonts w:ascii="Arial" w:hAnsi="Arial" w:cs="Arial"/>
        </w:rPr>
        <w:t xml:space="preserve"> cítilo osaměle (skóry 8 až 12).</w:t>
      </w:r>
    </w:p>
    <w:p w14:paraId="16C94C2F" w14:textId="77777777" w:rsidR="000D2667" w:rsidRPr="000D0DF5" w:rsidRDefault="000D2667" w:rsidP="00D607BA">
      <w:pPr>
        <w:spacing w:after="0" w:line="276" w:lineRule="auto"/>
        <w:rPr>
          <w:rFonts w:ascii="Arial" w:hAnsi="Arial" w:cs="Arial"/>
          <w:sz w:val="18"/>
        </w:rPr>
      </w:pPr>
    </w:p>
    <w:p w14:paraId="4E52E755" w14:textId="31836835" w:rsidR="000D2667" w:rsidRPr="000D0DF5" w:rsidRDefault="000D2667" w:rsidP="000D2667">
      <w:pPr>
        <w:spacing w:line="276" w:lineRule="auto"/>
        <w:jc w:val="both"/>
        <w:rPr>
          <w:rFonts w:ascii="Arial" w:hAnsi="Arial" w:cs="Arial"/>
          <w:sz w:val="24"/>
        </w:rPr>
      </w:pPr>
      <w:r w:rsidRPr="000D0DF5">
        <w:rPr>
          <w:rFonts w:ascii="Arial" w:hAnsi="Arial" w:cs="Arial"/>
          <w:b/>
          <w:sz w:val="20"/>
        </w:rPr>
        <w:t xml:space="preserve">Graf č. </w:t>
      </w:r>
      <w:r w:rsidR="002C6A68">
        <w:rPr>
          <w:rFonts w:ascii="Arial" w:hAnsi="Arial" w:cs="Arial"/>
          <w:b/>
          <w:sz w:val="20"/>
        </w:rPr>
        <w:t>3</w:t>
      </w:r>
      <w:r w:rsidRPr="000D0DF5">
        <w:rPr>
          <w:rFonts w:ascii="Arial" w:hAnsi="Arial" w:cs="Arial"/>
          <w:b/>
          <w:sz w:val="20"/>
        </w:rPr>
        <w:t xml:space="preserve">: </w:t>
      </w:r>
      <w:r w:rsidRPr="000D0DF5">
        <w:rPr>
          <w:rFonts w:ascii="Arial" w:hAnsi="Arial" w:cs="Arial"/>
          <w:b/>
          <w:sz w:val="20"/>
          <w:szCs w:val="20"/>
        </w:rPr>
        <w:t xml:space="preserve">Skóry tří položkové škály osamělosti </w:t>
      </w:r>
      <w:r w:rsidRPr="000D0DF5">
        <w:rPr>
          <w:rFonts w:ascii="Arial" w:hAnsi="Arial" w:cs="Arial"/>
          <w:b/>
          <w:iCs/>
          <w:sz w:val="20"/>
          <w:szCs w:val="20"/>
          <w:shd w:val="clear" w:color="auto" w:fill="FFFFFF"/>
        </w:rPr>
        <w:t>UCLA (3 = necítí se vůbec osaměle, 12 = cítí se velmi</w:t>
      </w:r>
      <w:r w:rsidR="005040B1">
        <w:rPr>
          <w:rFonts w:ascii="Arial" w:hAnsi="Arial" w:cs="Arial"/>
          <w:b/>
          <w:iCs/>
          <w:sz w:val="20"/>
          <w:szCs w:val="20"/>
          <w:shd w:val="clear" w:color="auto" w:fill="FFFFFF"/>
        </w:rPr>
        <w:t> </w:t>
      </w:r>
      <w:r w:rsidRPr="000D0DF5">
        <w:rPr>
          <w:rFonts w:ascii="Arial" w:hAnsi="Arial" w:cs="Arial"/>
          <w:b/>
          <w:iCs/>
          <w:sz w:val="20"/>
          <w:szCs w:val="20"/>
          <w:shd w:val="clear" w:color="auto" w:fill="FFFFFF"/>
        </w:rPr>
        <w:t>osaměle)</w:t>
      </w:r>
    </w:p>
    <w:p w14:paraId="5D819067" w14:textId="77777777" w:rsidR="000D2667" w:rsidRPr="000D0DF5" w:rsidRDefault="000D2667" w:rsidP="000D0DF5">
      <w:pPr>
        <w:spacing w:after="0" w:line="276" w:lineRule="auto"/>
        <w:jc w:val="center"/>
        <w:rPr>
          <w:rFonts w:ascii="Arial" w:hAnsi="Arial" w:cs="Arial"/>
          <w:sz w:val="24"/>
        </w:rPr>
      </w:pPr>
      <w:r w:rsidRPr="000D0DF5">
        <w:rPr>
          <w:rFonts w:ascii="Arial" w:hAnsi="Arial" w:cs="Arial"/>
          <w:noProof/>
          <w:lang w:eastAsia="cs-CZ"/>
        </w:rPr>
        <w:drawing>
          <wp:inline distT="0" distB="0" distL="0" distR="0" wp14:anchorId="4E8DA82B" wp14:editId="2D283307">
            <wp:extent cx="5224007" cy="2051437"/>
            <wp:effectExtent l="0" t="0" r="0" b="635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7CE878" w14:textId="380947D2" w:rsidR="000D2667" w:rsidRPr="000D0DF5" w:rsidRDefault="000D2667" w:rsidP="000D2667">
      <w:pPr>
        <w:spacing w:after="0" w:line="276" w:lineRule="auto"/>
        <w:rPr>
          <w:rFonts w:ascii="Arial" w:hAnsi="Arial" w:cs="Arial"/>
          <w:sz w:val="20"/>
        </w:rPr>
      </w:pPr>
      <w:r w:rsidRPr="000D0DF5">
        <w:rPr>
          <w:rFonts w:ascii="Arial" w:hAnsi="Arial" w:cs="Arial"/>
          <w:sz w:val="20"/>
        </w:rPr>
        <w:t>N=6497</w:t>
      </w:r>
    </w:p>
    <w:p w14:paraId="571503E0" w14:textId="77777777" w:rsidR="000D2667" w:rsidRPr="000D0DF5" w:rsidRDefault="000D2667" w:rsidP="00D607BA">
      <w:pPr>
        <w:spacing w:after="0" w:line="276" w:lineRule="auto"/>
        <w:rPr>
          <w:rFonts w:ascii="Arial" w:hAnsi="Arial" w:cs="Arial"/>
          <w:sz w:val="18"/>
        </w:rPr>
      </w:pPr>
    </w:p>
    <w:p w14:paraId="5419C272" w14:textId="33A8CE61" w:rsidR="00B27129" w:rsidRPr="000D0DF5" w:rsidRDefault="008A436A" w:rsidP="0062236B">
      <w:pPr>
        <w:spacing w:line="276" w:lineRule="auto"/>
        <w:jc w:val="both"/>
        <w:rPr>
          <w:rFonts w:ascii="Arial" w:hAnsi="Arial" w:cs="Arial"/>
        </w:rPr>
      </w:pPr>
      <w:r w:rsidRPr="000D0DF5">
        <w:rPr>
          <w:rFonts w:ascii="Arial" w:hAnsi="Arial" w:cs="Arial"/>
        </w:rPr>
        <w:t xml:space="preserve">V rámci studie jsme se pokusili zmapovat i finanční situaci vysokoškoláků před vypuknutím </w:t>
      </w:r>
      <w:r w:rsidR="003F4E0B">
        <w:rPr>
          <w:rFonts w:ascii="Arial" w:hAnsi="Arial" w:cs="Arial"/>
        </w:rPr>
        <w:t>tzv.</w:t>
      </w:r>
      <w:r w:rsidR="005040B1">
        <w:rPr>
          <w:rFonts w:ascii="Arial" w:hAnsi="Arial" w:cs="Arial"/>
        </w:rPr>
        <w:t> </w:t>
      </w:r>
      <w:proofErr w:type="spellStart"/>
      <w:r w:rsidRPr="000D0DF5">
        <w:rPr>
          <w:rFonts w:ascii="Arial" w:hAnsi="Arial" w:cs="Arial"/>
        </w:rPr>
        <w:t>korona</w:t>
      </w:r>
      <w:r w:rsidR="003F4E0B">
        <w:rPr>
          <w:rFonts w:ascii="Arial" w:hAnsi="Arial" w:cs="Arial"/>
        </w:rPr>
        <w:t>virové</w:t>
      </w:r>
      <w:proofErr w:type="spellEnd"/>
      <w:r w:rsidR="003F4E0B">
        <w:rPr>
          <w:rFonts w:ascii="Arial" w:hAnsi="Arial" w:cs="Arial"/>
        </w:rPr>
        <w:t xml:space="preserve"> </w:t>
      </w:r>
      <w:r w:rsidRPr="000D0DF5">
        <w:rPr>
          <w:rFonts w:ascii="Arial" w:hAnsi="Arial" w:cs="Arial"/>
        </w:rPr>
        <w:t xml:space="preserve">krize (tedy před počátkem nouzového stavu) a </w:t>
      </w:r>
      <w:r w:rsidR="00B27129" w:rsidRPr="000D0DF5">
        <w:rPr>
          <w:rFonts w:ascii="Arial" w:hAnsi="Arial" w:cs="Arial"/>
        </w:rPr>
        <w:t xml:space="preserve">během ní </w:t>
      </w:r>
      <w:r w:rsidRPr="000D0DF5">
        <w:rPr>
          <w:rFonts w:ascii="Arial" w:hAnsi="Arial" w:cs="Arial"/>
        </w:rPr>
        <w:t>v období na začátku května</w:t>
      </w:r>
      <w:r w:rsidR="00B27129" w:rsidRPr="000D0DF5">
        <w:rPr>
          <w:rFonts w:ascii="Arial" w:hAnsi="Arial" w:cs="Arial"/>
        </w:rPr>
        <w:t xml:space="preserve">. Z výpovědí (graf č. 4) vyplývá, že </w:t>
      </w:r>
      <w:r w:rsidR="003F4E0B">
        <w:rPr>
          <w:rFonts w:ascii="Arial" w:hAnsi="Arial" w:cs="Arial"/>
        </w:rPr>
        <w:t xml:space="preserve">se zvýšil </w:t>
      </w:r>
      <w:r w:rsidR="00B27129" w:rsidRPr="000D0DF5">
        <w:rPr>
          <w:rFonts w:ascii="Arial" w:hAnsi="Arial" w:cs="Arial"/>
        </w:rPr>
        <w:t>podíl studentů s finančními problémy z původních 4,2 % na 14,8 %. Obecně lze říci, že tato nenadálá situace způsobila zhoršení materiálního zajištění u vysokoškoláků.</w:t>
      </w:r>
    </w:p>
    <w:p w14:paraId="7B4565CE" w14:textId="77777777" w:rsidR="00E97027" w:rsidRPr="000D0DF5" w:rsidRDefault="00680F24" w:rsidP="00FD249B">
      <w:pPr>
        <w:spacing w:after="0" w:line="276" w:lineRule="auto"/>
        <w:rPr>
          <w:rFonts w:ascii="Arial" w:hAnsi="Arial" w:cs="Arial"/>
          <w:b/>
          <w:sz w:val="20"/>
        </w:rPr>
      </w:pPr>
      <w:r w:rsidRPr="000D0DF5">
        <w:rPr>
          <w:rFonts w:ascii="Arial" w:hAnsi="Arial" w:cs="Arial"/>
          <w:b/>
          <w:sz w:val="20"/>
        </w:rPr>
        <w:t xml:space="preserve">Graf č. 4: </w:t>
      </w:r>
      <w:r w:rsidR="00FD249B" w:rsidRPr="000D0DF5">
        <w:rPr>
          <w:rFonts w:ascii="Arial" w:hAnsi="Arial" w:cs="Arial"/>
          <w:b/>
          <w:sz w:val="20"/>
        </w:rPr>
        <w:t xml:space="preserve">Do jaké míry souhlasíte s následujícím výrokem? </w:t>
      </w:r>
      <w:r w:rsidR="00FD249B" w:rsidRPr="000D0DF5">
        <w:rPr>
          <w:rFonts w:ascii="Arial" w:hAnsi="Arial" w:cs="Arial"/>
          <w:b/>
          <w:i/>
          <w:sz w:val="20"/>
        </w:rPr>
        <w:t>„Disponoval(a) jsem dostatečnými finančními prostředky, které pokryjí moje měsíční výdaje.“</w:t>
      </w:r>
    </w:p>
    <w:p w14:paraId="305F7A3C" w14:textId="68C25450" w:rsidR="00E97027" w:rsidRPr="000D0DF5" w:rsidRDefault="00AC03D1" w:rsidP="00680F24">
      <w:pPr>
        <w:spacing w:after="0" w:line="276" w:lineRule="auto"/>
        <w:jc w:val="both"/>
        <w:rPr>
          <w:rFonts w:ascii="Arial" w:hAnsi="Arial" w:cs="Arial"/>
        </w:rPr>
      </w:pPr>
      <w:r w:rsidRPr="000D0DF5">
        <w:rPr>
          <w:rFonts w:ascii="Arial" w:hAnsi="Arial" w:cs="Arial"/>
          <w:noProof/>
          <w:lang w:eastAsia="cs-CZ"/>
        </w:rPr>
        <w:t xml:space="preserve"> </w:t>
      </w:r>
      <w:r w:rsidR="001B6341" w:rsidRPr="000D0DF5">
        <w:rPr>
          <w:rFonts w:ascii="Arial" w:hAnsi="Arial" w:cs="Arial"/>
          <w:noProof/>
          <w:lang w:eastAsia="cs-CZ"/>
        </w:rPr>
        <w:drawing>
          <wp:inline distT="0" distB="0" distL="0" distR="0" wp14:anchorId="022975BB" wp14:editId="004339CD">
            <wp:extent cx="5446643" cy="2743200"/>
            <wp:effectExtent l="0" t="0" r="1905" b="0"/>
            <wp:docPr id="18" name="Graf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E126F0" w14:textId="77777777" w:rsidR="00680F24" w:rsidRPr="000D0DF5" w:rsidRDefault="00680F24" w:rsidP="00680F24">
      <w:pPr>
        <w:spacing w:after="0" w:line="276" w:lineRule="auto"/>
        <w:rPr>
          <w:rFonts w:ascii="Arial" w:hAnsi="Arial" w:cs="Arial"/>
          <w:b/>
          <w:sz w:val="24"/>
        </w:rPr>
      </w:pPr>
      <w:r w:rsidRPr="000D0DF5">
        <w:rPr>
          <w:rFonts w:ascii="Arial" w:hAnsi="Arial" w:cs="Arial"/>
          <w:sz w:val="18"/>
        </w:rPr>
        <w:t>N=6497</w:t>
      </w:r>
    </w:p>
    <w:p w14:paraId="2D9FA88B" w14:textId="77777777" w:rsidR="00B27129" w:rsidRPr="000D0DF5" w:rsidRDefault="00B27129" w:rsidP="0062236B">
      <w:pPr>
        <w:spacing w:line="276" w:lineRule="auto"/>
        <w:jc w:val="both"/>
        <w:rPr>
          <w:rFonts w:ascii="Arial" w:hAnsi="Arial" w:cs="Arial"/>
        </w:rPr>
      </w:pPr>
    </w:p>
    <w:p w14:paraId="6111B0CA" w14:textId="0B2F2036" w:rsidR="00B27129" w:rsidRPr="000D0DF5" w:rsidRDefault="00B27129" w:rsidP="0062236B">
      <w:pPr>
        <w:spacing w:line="276" w:lineRule="auto"/>
        <w:jc w:val="both"/>
        <w:rPr>
          <w:rFonts w:ascii="Arial" w:hAnsi="Arial" w:cs="Arial"/>
        </w:rPr>
      </w:pPr>
      <w:r w:rsidRPr="000D0DF5">
        <w:rPr>
          <w:rFonts w:ascii="Arial" w:hAnsi="Arial" w:cs="Arial"/>
        </w:rPr>
        <w:t>Podobně lze pozorovat i změnu v</w:t>
      </w:r>
      <w:r w:rsidR="005040B1">
        <w:rPr>
          <w:rFonts w:ascii="Arial" w:hAnsi="Arial" w:cs="Arial"/>
        </w:rPr>
        <w:t>e formách</w:t>
      </w:r>
      <w:r w:rsidRPr="000D0DF5">
        <w:rPr>
          <w:rFonts w:ascii="Arial" w:hAnsi="Arial" w:cs="Arial"/>
        </w:rPr>
        <w:t> bydlení (graf č. 5). Během nouzového stavu se značná část vysokoškoláků přestěhovala z různých jiných forem bydlení k</w:t>
      </w:r>
      <w:r w:rsidR="00F238FF" w:rsidRPr="000D0DF5">
        <w:rPr>
          <w:rFonts w:ascii="Arial" w:hAnsi="Arial" w:cs="Arial"/>
        </w:rPr>
        <w:t> rodičům, a to zejména z kolejí (84</w:t>
      </w:r>
      <w:r w:rsidR="005040B1">
        <w:rPr>
          <w:rFonts w:ascii="Arial" w:hAnsi="Arial" w:cs="Arial"/>
        </w:rPr>
        <w:t> </w:t>
      </w:r>
      <w:r w:rsidR="00F238FF" w:rsidRPr="000D0DF5">
        <w:rPr>
          <w:rFonts w:ascii="Arial" w:hAnsi="Arial" w:cs="Arial"/>
        </w:rPr>
        <w:t>% z nich) nebo společných pronájmů (49 % z nich).</w:t>
      </w:r>
    </w:p>
    <w:p w14:paraId="7EB81C7B" w14:textId="77777777" w:rsidR="00AC03D1" w:rsidRPr="000D0DF5" w:rsidRDefault="00AC03D1" w:rsidP="00AC03D1">
      <w:pPr>
        <w:spacing w:after="0" w:line="276" w:lineRule="auto"/>
        <w:rPr>
          <w:rFonts w:ascii="Arial" w:hAnsi="Arial" w:cs="Arial"/>
          <w:b/>
          <w:iCs/>
          <w:color w:val="202124"/>
          <w:sz w:val="21"/>
          <w:szCs w:val="21"/>
          <w:shd w:val="clear" w:color="auto" w:fill="FFFFFF"/>
        </w:rPr>
      </w:pPr>
      <w:r w:rsidRPr="000D0DF5">
        <w:rPr>
          <w:rFonts w:ascii="Arial" w:hAnsi="Arial" w:cs="Arial"/>
          <w:b/>
          <w:sz w:val="20"/>
        </w:rPr>
        <w:t xml:space="preserve">Graf č. 5: </w:t>
      </w:r>
      <w:r w:rsidR="00FD249B" w:rsidRPr="000D0DF5">
        <w:rPr>
          <w:rFonts w:ascii="Arial" w:hAnsi="Arial" w:cs="Arial"/>
          <w:b/>
          <w:sz w:val="20"/>
        </w:rPr>
        <w:t>„</w:t>
      </w:r>
      <w:r w:rsidR="00FD249B" w:rsidRPr="000D0DF5">
        <w:rPr>
          <w:rFonts w:ascii="Arial" w:hAnsi="Arial" w:cs="Arial"/>
          <w:b/>
          <w:i/>
          <w:sz w:val="20"/>
        </w:rPr>
        <w:t>Kde jste běžně bydlel(a) během semestru (mimo víkendy a svátky)?“</w:t>
      </w:r>
    </w:p>
    <w:p w14:paraId="7829987C" w14:textId="569599B6" w:rsidR="00E97027" w:rsidRPr="000D0DF5" w:rsidRDefault="001B6341" w:rsidP="00AC03D1">
      <w:pPr>
        <w:spacing w:after="0" w:line="276" w:lineRule="auto"/>
        <w:jc w:val="both"/>
        <w:rPr>
          <w:rFonts w:ascii="Arial" w:hAnsi="Arial" w:cs="Arial"/>
        </w:rPr>
      </w:pPr>
      <w:r w:rsidRPr="000D0DF5">
        <w:rPr>
          <w:rFonts w:ascii="Arial" w:hAnsi="Arial" w:cs="Arial"/>
          <w:noProof/>
          <w:lang w:eastAsia="cs-CZ"/>
        </w:rPr>
        <w:drawing>
          <wp:inline distT="0" distB="0" distL="0" distR="0" wp14:anchorId="4436CEBB" wp14:editId="49A8C0FF">
            <wp:extent cx="5550010" cy="2830664"/>
            <wp:effectExtent l="0" t="0" r="0" b="8255"/>
            <wp:docPr id="19" name="Graf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B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ECBCC59" w14:textId="77777777" w:rsidR="00AC03D1" w:rsidRPr="000D0DF5" w:rsidRDefault="00AC03D1" w:rsidP="00AC03D1">
      <w:pPr>
        <w:spacing w:after="0" w:line="276" w:lineRule="auto"/>
        <w:rPr>
          <w:rFonts w:ascii="Arial" w:hAnsi="Arial" w:cs="Arial"/>
          <w:b/>
          <w:sz w:val="28"/>
        </w:rPr>
      </w:pPr>
      <w:r w:rsidRPr="000D0DF5">
        <w:rPr>
          <w:rFonts w:ascii="Arial" w:hAnsi="Arial" w:cs="Arial"/>
          <w:sz w:val="20"/>
        </w:rPr>
        <w:t>N=6497</w:t>
      </w:r>
    </w:p>
    <w:p w14:paraId="1B6B638D" w14:textId="77777777" w:rsidR="00AC03D1" w:rsidRPr="000D0DF5" w:rsidRDefault="00AC03D1" w:rsidP="0062236B">
      <w:pPr>
        <w:spacing w:line="276" w:lineRule="auto"/>
        <w:jc w:val="both"/>
        <w:rPr>
          <w:rFonts w:ascii="Arial" w:hAnsi="Arial" w:cs="Arial"/>
        </w:rPr>
      </w:pPr>
    </w:p>
    <w:p w14:paraId="2A3F4180" w14:textId="77777777" w:rsidR="005040B1" w:rsidRDefault="005040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01D6DD63" w14:textId="7DAB288A" w:rsidR="00AA3E08" w:rsidRPr="003F4E0B" w:rsidRDefault="00AA3E08" w:rsidP="0062236B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3F4E0B">
        <w:rPr>
          <w:rFonts w:ascii="Arial" w:hAnsi="Arial" w:cs="Arial"/>
          <w:b/>
          <w:sz w:val="24"/>
        </w:rPr>
        <w:lastRenderedPageBreak/>
        <w:t>Studijní zátěž a stres</w:t>
      </w:r>
    </w:p>
    <w:p w14:paraId="5876826F" w14:textId="5AC47DC8" w:rsidR="008E5CA6" w:rsidRPr="000D0DF5" w:rsidRDefault="00AC7D61" w:rsidP="0062236B">
      <w:pPr>
        <w:spacing w:line="276" w:lineRule="auto"/>
        <w:jc w:val="both"/>
        <w:rPr>
          <w:rFonts w:ascii="Arial" w:hAnsi="Arial" w:cs="Arial"/>
        </w:rPr>
      </w:pPr>
      <w:r w:rsidRPr="000D0DF5">
        <w:rPr>
          <w:rFonts w:ascii="Arial" w:hAnsi="Arial" w:cs="Arial"/>
        </w:rPr>
        <w:t>Z důvodu nemožnosti setkávání studentů a vyučujících po začátku pandemie v jarních měsících</w:t>
      </w:r>
      <w:r w:rsidR="008E5CA6" w:rsidRPr="000D0DF5">
        <w:rPr>
          <w:rFonts w:ascii="Arial" w:hAnsi="Arial" w:cs="Arial"/>
        </w:rPr>
        <w:t xml:space="preserve"> byla</w:t>
      </w:r>
      <w:r w:rsidR="003F4E0B" w:rsidRPr="000D0DF5">
        <w:rPr>
          <w:rFonts w:ascii="Arial" w:hAnsi="Arial" w:cs="Arial"/>
        </w:rPr>
        <w:t xml:space="preserve"> na vysokých školách</w:t>
      </w:r>
      <w:r w:rsidR="008E5CA6" w:rsidRPr="000D0DF5">
        <w:rPr>
          <w:rFonts w:ascii="Arial" w:hAnsi="Arial" w:cs="Arial"/>
        </w:rPr>
        <w:t xml:space="preserve"> přerušena</w:t>
      </w:r>
      <w:r w:rsidRPr="000D0DF5">
        <w:rPr>
          <w:rFonts w:ascii="Arial" w:hAnsi="Arial" w:cs="Arial"/>
        </w:rPr>
        <w:t xml:space="preserve"> prezenční výuka.</w:t>
      </w:r>
      <w:r w:rsidR="008E5CA6" w:rsidRPr="000D0DF5">
        <w:rPr>
          <w:rFonts w:ascii="Arial" w:hAnsi="Arial" w:cs="Arial"/>
        </w:rPr>
        <w:t xml:space="preserve"> </w:t>
      </w:r>
      <w:r w:rsidR="003F4E0B">
        <w:rPr>
          <w:rFonts w:ascii="Arial" w:hAnsi="Arial" w:cs="Arial"/>
        </w:rPr>
        <w:t>Tou</w:t>
      </w:r>
      <w:r w:rsidR="008E5CA6" w:rsidRPr="000D0DF5">
        <w:rPr>
          <w:rFonts w:ascii="Arial" w:hAnsi="Arial" w:cs="Arial"/>
        </w:rPr>
        <w:t xml:space="preserve"> trávili studenti před pandemií průměrně 14</w:t>
      </w:r>
      <w:r w:rsidR="005040B1">
        <w:rPr>
          <w:rFonts w:ascii="Arial" w:hAnsi="Arial" w:cs="Arial"/>
        </w:rPr>
        <w:t> </w:t>
      </w:r>
      <w:r w:rsidR="008E5CA6" w:rsidRPr="000D0DF5">
        <w:rPr>
          <w:rFonts w:ascii="Arial" w:hAnsi="Arial" w:cs="Arial"/>
        </w:rPr>
        <w:t xml:space="preserve">hodin týdně (viz Graf č. 6). Těchto 14 hodin se </w:t>
      </w:r>
      <w:r w:rsidR="003F4E0B">
        <w:rPr>
          <w:rFonts w:ascii="Arial" w:hAnsi="Arial" w:cs="Arial"/>
        </w:rPr>
        <w:t xml:space="preserve">následně </w:t>
      </w:r>
      <w:r w:rsidR="008E5CA6" w:rsidRPr="000D0DF5">
        <w:rPr>
          <w:rFonts w:ascii="Arial" w:hAnsi="Arial" w:cs="Arial"/>
        </w:rPr>
        <w:t>přesunulo do online výuky (nárůst během pandemie o 4,5 hodin týdně) a ve větší míře do osobního studia (nárůst o 7,8 hodin týdně).</w:t>
      </w:r>
      <w:r w:rsidRPr="000D0DF5">
        <w:rPr>
          <w:rFonts w:ascii="Arial" w:hAnsi="Arial" w:cs="Arial"/>
        </w:rPr>
        <w:t xml:space="preserve"> </w:t>
      </w:r>
    </w:p>
    <w:p w14:paraId="462EA6C8" w14:textId="31BC6D1F" w:rsidR="008E5CA6" w:rsidRPr="000D0DF5" w:rsidRDefault="008E5CA6" w:rsidP="0062236B">
      <w:pPr>
        <w:spacing w:line="276" w:lineRule="auto"/>
        <w:jc w:val="both"/>
        <w:rPr>
          <w:rFonts w:ascii="Arial" w:hAnsi="Arial" w:cs="Arial"/>
          <w:b/>
        </w:rPr>
      </w:pPr>
      <w:r w:rsidRPr="000D0DF5">
        <w:rPr>
          <w:rFonts w:ascii="Arial" w:hAnsi="Arial" w:cs="Arial"/>
          <w:b/>
        </w:rPr>
        <w:t>Graf č. 6:</w:t>
      </w:r>
      <w:r w:rsidR="0093329C" w:rsidRPr="000D0DF5">
        <w:rPr>
          <w:rFonts w:ascii="Arial" w:hAnsi="Arial" w:cs="Arial"/>
          <w:b/>
        </w:rPr>
        <w:t xml:space="preserve"> </w:t>
      </w:r>
      <w:r w:rsidR="006458B2">
        <w:rPr>
          <w:rFonts w:ascii="Arial" w:hAnsi="Arial" w:cs="Arial"/>
          <w:b/>
        </w:rPr>
        <w:t>„</w:t>
      </w:r>
      <w:r w:rsidR="0093329C" w:rsidRPr="000D0DF5">
        <w:rPr>
          <w:rFonts w:ascii="Arial" w:hAnsi="Arial" w:cs="Arial"/>
          <w:b/>
        </w:rPr>
        <w:t>Kolik hodin jste běžně strávil/a /trávíte na vyučování, osobním studiem a placenou prací?</w:t>
      </w:r>
      <w:r w:rsidR="006458B2">
        <w:rPr>
          <w:rFonts w:ascii="Arial" w:hAnsi="Arial" w:cs="Arial"/>
          <w:b/>
        </w:rPr>
        <w:t>“</w:t>
      </w:r>
    </w:p>
    <w:p w14:paraId="13D57308" w14:textId="24563E35" w:rsidR="008E5CA6" w:rsidRPr="000D0DF5" w:rsidRDefault="003F4DBD" w:rsidP="0062236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 w14:anchorId="1B6956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80.5pt">
            <v:imagedata r:id="rId14" o:title="hodin_tydne2"/>
          </v:shape>
        </w:pict>
      </w:r>
    </w:p>
    <w:p w14:paraId="55486CAE" w14:textId="668D0C70" w:rsidR="008E5CA6" w:rsidRPr="000D0DF5" w:rsidRDefault="008E5CA6" w:rsidP="0062236B">
      <w:pPr>
        <w:spacing w:line="276" w:lineRule="auto"/>
        <w:jc w:val="both"/>
        <w:rPr>
          <w:rFonts w:ascii="Arial" w:hAnsi="Arial" w:cs="Arial"/>
          <w:b/>
          <w:sz w:val="20"/>
          <w:szCs w:val="18"/>
        </w:rPr>
      </w:pPr>
      <w:r w:rsidRPr="000D0DF5">
        <w:rPr>
          <w:rFonts w:ascii="Arial" w:hAnsi="Arial" w:cs="Arial"/>
          <w:sz w:val="20"/>
          <w:szCs w:val="18"/>
        </w:rPr>
        <w:t>N=6497</w:t>
      </w:r>
    </w:p>
    <w:p w14:paraId="2AF7C52E" w14:textId="77DBBDC6" w:rsidR="00AA3E08" w:rsidRPr="000D0DF5" w:rsidRDefault="00210355" w:rsidP="0062236B">
      <w:pPr>
        <w:spacing w:line="276" w:lineRule="auto"/>
        <w:jc w:val="both"/>
        <w:rPr>
          <w:rFonts w:ascii="Arial" w:hAnsi="Arial" w:cs="Arial"/>
        </w:rPr>
      </w:pPr>
      <w:r w:rsidRPr="000D0DF5">
        <w:rPr>
          <w:rFonts w:ascii="Arial" w:hAnsi="Arial" w:cs="Arial"/>
        </w:rPr>
        <w:t>Mezi univerzitami</w:t>
      </w:r>
      <w:r w:rsidR="00C34113" w:rsidRPr="000D0DF5">
        <w:rPr>
          <w:rFonts w:ascii="Arial" w:hAnsi="Arial" w:cs="Arial"/>
        </w:rPr>
        <w:t xml:space="preserve"> a fakultami</w:t>
      </w:r>
      <w:r w:rsidRPr="000D0DF5">
        <w:rPr>
          <w:rFonts w:ascii="Arial" w:hAnsi="Arial" w:cs="Arial"/>
        </w:rPr>
        <w:t xml:space="preserve"> </w:t>
      </w:r>
      <w:r w:rsidR="003F4E0B">
        <w:rPr>
          <w:rFonts w:ascii="Arial" w:hAnsi="Arial" w:cs="Arial"/>
        </w:rPr>
        <w:t>panoval</w:t>
      </w:r>
      <w:r w:rsidR="003F4E0B" w:rsidRPr="000D0DF5">
        <w:rPr>
          <w:rFonts w:ascii="Arial" w:hAnsi="Arial" w:cs="Arial"/>
        </w:rPr>
        <w:t xml:space="preserve"> </w:t>
      </w:r>
      <w:r w:rsidR="003F4E0B">
        <w:rPr>
          <w:rFonts w:ascii="Arial" w:hAnsi="Arial" w:cs="Arial"/>
        </w:rPr>
        <w:t>značný</w:t>
      </w:r>
      <w:r w:rsidR="003F4E0B" w:rsidRPr="000D0DF5">
        <w:rPr>
          <w:rFonts w:ascii="Arial" w:hAnsi="Arial" w:cs="Arial"/>
        </w:rPr>
        <w:t xml:space="preserve"> </w:t>
      </w:r>
      <w:r w:rsidRPr="000D0DF5">
        <w:rPr>
          <w:rFonts w:ascii="Arial" w:hAnsi="Arial" w:cs="Arial"/>
        </w:rPr>
        <w:t>rozdíl v</w:t>
      </w:r>
      <w:r w:rsidR="003F4E0B">
        <w:rPr>
          <w:rFonts w:ascii="Arial" w:hAnsi="Arial" w:cs="Arial"/>
        </w:rPr>
        <w:t xml:space="preserve"> přístupu k </w:t>
      </w:r>
      <w:r w:rsidRPr="000D0DF5">
        <w:rPr>
          <w:rFonts w:ascii="Arial" w:hAnsi="Arial" w:cs="Arial"/>
        </w:rPr>
        <w:t>řešení výpadku prezenční výuky, přičemž způsob řešení měl silný vliv na studenty pociťovanou míru</w:t>
      </w:r>
      <w:r w:rsidR="008F35D2" w:rsidRPr="000D0DF5">
        <w:rPr>
          <w:rFonts w:ascii="Arial" w:hAnsi="Arial" w:cs="Arial"/>
        </w:rPr>
        <w:t xml:space="preserve"> studijního zatížení a</w:t>
      </w:r>
      <w:r w:rsidRPr="000D0DF5">
        <w:rPr>
          <w:rFonts w:ascii="Arial" w:hAnsi="Arial" w:cs="Arial"/>
        </w:rPr>
        <w:t xml:space="preserve"> stresu. </w:t>
      </w:r>
      <w:r w:rsidR="000B19B5" w:rsidRPr="000D0DF5">
        <w:rPr>
          <w:rFonts w:ascii="Arial" w:hAnsi="Arial" w:cs="Arial"/>
        </w:rPr>
        <w:t xml:space="preserve">Pokud se nemožnost prezenční výuky kompenzovala prudkým nárůstem osobního studia, projevila se tato skutečnost na pociťované studijní zátěži a míře stresu, který studenti v jarním </w:t>
      </w:r>
      <w:r w:rsidR="00FC3C0C" w:rsidRPr="000D0DF5">
        <w:rPr>
          <w:rFonts w:ascii="Arial" w:hAnsi="Arial" w:cs="Arial"/>
        </w:rPr>
        <w:t>semestru za</w:t>
      </w:r>
      <w:r w:rsidR="000B19B5" w:rsidRPr="000D0DF5">
        <w:rPr>
          <w:rFonts w:ascii="Arial" w:hAnsi="Arial" w:cs="Arial"/>
        </w:rPr>
        <w:t>žívali</w:t>
      </w:r>
      <w:r w:rsidR="00FC3C0C" w:rsidRPr="000D0DF5">
        <w:rPr>
          <w:rFonts w:ascii="Arial" w:hAnsi="Arial" w:cs="Arial"/>
        </w:rPr>
        <w:t xml:space="preserve"> (viz Graf </w:t>
      </w:r>
      <w:r w:rsidR="008E5CA6" w:rsidRPr="000D0DF5">
        <w:rPr>
          <w:rFonts w:ascii="Arial" w:hAnsi="Arial" w:cs="Arial"/>
        </w:rPr>
        <w:t>č. 7</w:t>
      </w:r>
      <w:r w:rsidR="00FC3C0C" w:rsidRPr="000D0DF5">
        <w:rPr>
          <w:rFonts w:ascii="Arial" w:hAnsi="Arial" w:cs="Arial"/>
        </w:rPr>
        <w:t>)</w:t>
      </w:r>
      <w:r w:rsidR="000B19B5" w:rsidRPr="000D0DF5">
        <w:rPr>
          <w:rFonts w:ascii="Arial" w:hAnsi="Arial" w:cs="Arial"/>
        </w:rPr>
        <w:t>.</w:t>
      </w:r>
      <w:r w:rsidR="00FC3C0C" w:rsidRPr="000D0DF5">
        <w:rPr>
          <w:rFonts w:ascii="Arial" w:hAnsi="Arial" w:cs="Arial"/>
        </w:rPr>
        <w:t xml:space="preserve"> </w:t>
      </w:r>
      <w:r w:rsidR="008F35D2" w:rsidRPr="000D0DF5">
        <w:rPr>
          <w:rFonts w:ascii="Arial" w:hAnsi="Arial" w:cs="Arial"/>
        </w:rPr>
        <w:t xml:space="preserve">Studenti, kteří </w:t>
      </w:r>
      <w:r w:rsidR="00B41B5C">
        <w:rPr>
          <w:rFonts w:ascii="Arial" w:hAnsi="Arial" w:cs="Arial"/>
        </w:rPr>
        <w:t>potvrdili</w:t>
      </w:r>
      <w:r w:rsidR="00B41B5C" w:rsidRPr="000D0DF5">
        <w:rPr>
          <w:rFonts w:ascii="Arial" w:hAnsi="Arial" w:cs="Arial"/>
        </w:rPr>
        <w:t xml:space="preserve"> </w:t>
      </w:r>
      <w:r w:rsidR="008F35D2" w:rsidRPr="000D0DF5">
        <w:rPr>
          <w:rFonts w:ascii="Arial" w:hAnsi="Arial" w:cs="Arial"/>
        </w:rPr>
        <w:t xml:space="preserve">nárůst </w:t>
      </w:r>
      <w:r w:rsidR="00B41B5C">
        <w:rPr>
          <w:rFonts w:ascii="Arial" w:hAnsi="Arial" w:cs="Arial"/>
        </w:rPr>
        <w:t xml:space="preserve">doby věnované </w:t>
      </w:r>
      <w:r w:rsidR="00B41B5C" w:rsidRPr="000D0DF5">
        <w:rPr>
          <w:rFonts w:ascii="Arial" w:hAnsi="Arial" w:cs="Arial"/>
        </w:rPr>
        <w:t>osobní</w:t>
      </w:r>
      <w:r w:rsidR="00B41B5C">
        <w:rPr>
          <w:rFonts w:ascii="Arial" w:hAnsi="Arial" w:cs="Arial"/>
        </w:rPr>
        <w:t>mu</w:t>
      </w:r>
      <w:r w:rsidR="00B41B5C" w:rsidRPr="000D0DF5">
        <w:rPr>
          <w:rFonts w:ascii="Arial" w:hAnsi="Arial" w:cs="Arial"/>
        </w:rPr>
        <w:t xml:space="preserve"> studi</w:t>
      </w:r>
      <w:r w:rsidR="00B41B5C">
        <w:rPr>
          <w:rFonts w:ascii="Arial" w:hAnsi="Arial" w:cs="Arial"/>
        </w:rPr>
        <w:t>u</w:t>
      </w:r>
      <w:r w:rsidR="00B41B5C" w:rsidRPr="000D0DF5">
        <w:rPr>
          <w:rFonts w:ascii="Arial" w:hAnsi="Arial" w:cs="Arial"/>
        </w:rPr>
        <w:t xml:space="preserve"> </w:t>
      </w:r>
      <w:r w:rsidR="008F35D2" w:rsidRPr="000D0DF5">
        <w:rPr>
          <w:rFonts w:ascii="Arial" w:hAnsi="Arial" w:cs="Arial"/>
        </w:rPr>
        <w:t xml:space="preserve">během pandemie, častěji souhlasili s tvrzeními, že jejich studijní zátěž výrazně narostla od začátku pandemie, a že pro ně změny v souvislosti s pandemií znamenaly významný stres. </w:t>
      </w:r>
    </w:p>
    <w:p w14:paraId="149F168B" w14:textId="573D4FFB" w:rsidR="008F35D2" w:rsidRPr="000D0DF5" w:rsidRDefault="008F35D2" w:rsidP="0062236B">
      <w:pPr>
        <w:spacing w:line="276" w:lineRule="auto"/>
        <w:jc w:val="both"/>
        <w:rPr>
          <w:rFonts w:ascii="Arial" w:hAnsi="Arial" w:cs="Arial"/>
        </w:rPr>
      </w:pPr>
    </w:p>
    <w:p w14:paraId="66323616" w14:textId="00474AC7" w:rsidR="00C3707D" w:rsidRPr="000D0DF5" w:rsidRDefault="00C3707D" w:rsidP="0062236B">
      <w:pPr>
        <w:spacing w:line="276" w:lineRule="auto"/>
        <w:jc w:val="both"/>
        <w:rPr>
          <w:rFonts w:ascii="Arial" w:hAnsi="Arial" w:cs="Arial"/>
        </w:rPr>
      </w:pPr>
    </w:p>
    <w:p w14:paraId="4A0C75EF" w14:textId="1EAC3C3C" w:rsidR="00C3707D" w:rsidRPr="000D0DF5" w:rsidRDefault="00C3707D" w:rsidP="0062236B">
      <w:pPr>
        <w:spacing w:line="276" w:lineRule="auto"/>
        <w:jc w:val="both"/>
        <w:rPr>
          <w:rFonts w:ascii="Arial" w:hAnsi="Arial" w:cs="Arial"/>
        </w:rPr>
      </w:pPr>
    </w:p>
    <w:p w14:paraId="508F93D3" w14:textId="56F94A22" w:rsidR="00C3707D" w:rsidRPr="000D0DF5" w:rsidRDefault="00C3707D" w:rsidP="0062236B">
      <w:pPr>
        <w:spacing w:line="276" w:lineRule="auto"/>
        <w:jc w:val="both"/>
        <w:rPr>
          <w:rFonts w:ascii="Arial" w:hAnsi="Arial" w:cs="Arial"/>
        </w:rPr>
      </w:pPr>
    </w:p>
    <w:p w14:paraId="373AA252" w14:textId="4E203033" w:rsidR="008F35D2" w:rsidRPr="000D0DF5" w:rsidRDefault="008F35D2" w:rsidP="0062236B">
      <w:pPr>
        <w:spacing w:line="276" w:lineRule="auto"/>
        <w:jc w:val="both"/>
        <w:rPr>
          <w:rFonts w:ascii="Arial" w:hAnsi="Arial" w:cs="Arial"/>
          <w:b/>
        </w:rPr>
      </w:pPr>
      <w:r w:rsidRPr="000D0DF5">
        <w:rPr>
          <w:rFonts w:ascii="Arial" w:hAnsi="Arial" w:cs="Arial"/>
          <w:b/>
        </w:rPr>
        <w:lastRenderedPageBreak/>
        <w:t xml:space="preserve">Graf č. 7: Průměry pociťovaného studijního zatížení a stresu podle </w:t>
      </w:r>
      <w:r w:rsidR="00BD4C12" w:rsidRPr="00BD4C12">
        <w:rPr>
          <w:rFonts w:ascii="Arial" w:hAnsi="Arial" w:cs="Arial"/>
          <w:b/>
        </w:rPr>
        <w:t>rozdílu v délce osobního studia před a během pandemie (v hodinách)</w:t>
      </w:r>
    </w:p>
    <w:p w14:paraId="7EBD7711" w14:textId="5AE9DD2A" w:rsidR="00FC3C0C" w:rsidRPr="000D0DF5" w:rsidRDefault="003F4DBD" w:rsidP="0062236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 w14:anchorId="06C4B3F3">
          <v:shape id="_x0000_i1026" type="#_x0000_t75" style="width:481.5pt;height:351pt">
            <v:imagedata r:id="rId15" o:title="covid-graf7"/>
          </v:shape>
        </w:pict>
      </w:r>
    </w:p>
    <w:p w14:paraId="36AAE1BA" w14:textId="65F52303" w:rsidR="008F35D2" w:rsidRPr="000D0DF5" w:rsidRDefault="008F35D2" w:rsidP="0062236B">
      <w:pPr>
        <w:spacing w:line="276" w:lineRule="auto"/>
        <w:jc w:val="both"/>
        <w:rPr>
          <w:rFonts w:ascii="Arial" w:hAnsi="Arial" w:cs="Arial"/>
          <w:b/>
          <w:sz w:val="20"/>
          <w:szCs w:val="18"/>
        </w:rPr>
      </w:pPr>
      <w:r w:rsidRPr="000D0DF5">
        <w:rPr>
          <w:rFonts w:ascii="Arial" w:hAnsi="Arial" w:cs="Arial"/>
          <w:sz w:val="20"/>
          <w:szCs w:val="18"/>
        </w:rPr>
        <w:t>N=6497</w:t>
      </w:r>
    </w:p>
    <w:p w14:paraId="1D34D5E6" w14:textId="4E2A778C" w:rsidR="00FC3C0C" w:rsidRPr="000D0DF5" w:rsidRDefault="00CE0299" w:rsidP="00A77FE6">
      <w:pPr>
        <w:spacing w:line="276" w:lineRule="auto"/>
        <w:jc w:val="both"/>
        <w:rPr>
          <w:rFonts w:ascii="Arial" w:hAnsi="Arial" w:cs="Arial"/>
        </w:rPr>
      </w:pPr>
      <w:r w:rsidRPr="000D0DF5">
        <w:rPr>
          <w:rFonts w:ascii="Arial" w:hAnsi="Arial" w:cs="Arial"/>
        </w:rPr>
        <w:t xml:space="preserve">Pokud byl výpadek prezenční výuky kompenzován </w:t>
      </w:r>
      <w:r w:rsidR="00B41B5C">
        <w:rPr>
          <w:rFonts w:ascii="Arial" w:hAnsi="Arial" w:cs="Arial"/>
        </w:rPr>
        <w:t>ve větší míře</w:t>
      </w:r>
      <w:r w:rsidR="00B41B5C" w:rsidRPr="000D0DF5">
        <w:rPr>
          <w:rFonts w:ascii="Arial" w:hAnsi="Arial" w:cs="Arial"/>
        </w:rPr>
        <w:t xml:space="preserve"> </w:t>
      </w:r>
      <w:r w:rsidRPr="000D0DF5">
        <w:rPr>
          <w:rFonts w:ascii="Arial" w:hAnsi="Arial" w:cs="Arial"/>
        </w:rPr>
        <w:t>online vý</w:t>
      </w:r>
      <w:r w:rsidR="00A77FE6" w:rsidRPr="000D0DF5">
        <w:rPr>
          <w:rFonts w:ascii="Arial" w:hAnsi="Arial" w:cs="Arial"/>
        </w:rPr>
        <w:t>ukou než osobním studiem nebo online výukou a osobním studiem ve</w:t>
      </w:r>
      <w:r w:rsidRPr="000D0DF5">
        <w:rPr>
          <w:rFonts w:ascii="Arial" w:hAnsi="Arial" w:cs="Arial"/>
        </w:rPr>
        <w:t xml:space="preserve"> stejné míře,</w:t>
      </w:r>
      <w:r w:rsidR="00A77FE6" w:rsidRPr="000D0DF5">
        <w:rPr>
          <w:rFonts w:ascii="Arial" w:hAnsi="Arial" w:cs="Arial"/>
        </w:rPr>
        <w:t xml:space="preserve"> bylo zatížení a stres studentů signifikantně nižší než v případě, kdy byl výpadek více kompenzován nárůstem osobního studia než online výukou</w:t>
      </w:r>
      <w:r w:rsidR="008F35D2" w:rsidRPr="000D0DF5">
        <w:rPr>
          <w:rFonts w:ascii="Arial" w:hAnsi="Arial" w:cs="Arial"/>
        </w:rPr>
        <w:t xml:space="preserve"> (viz Graf č. 8)</w:t>
      </w:r>
      <w:r w:rsidR="00A77FE6" w:rsidRPr="000D0DF5">
        <w:rPr>
          <w:rFonts w:ascii="Arial" w:hAnsi="Arial" w:cs="Arial"/>
        </w:rPr>
        <w:t>.</w:t>
      </w:r>
    </w:p>
    <w:p w14:paraId="7E3B3F07" w14:textId="3112C5F6" w:rsidR="00C3707D" w:rsidRPr="000D0DF5" w:rsidRDefault="00C3707D" w:rsidP="00A77FE6">
      <w:pPr>
        <w:spacing w:line="276" w:lineRule="auto"/>
        <w:jc w:val="both"/>
        <w:rPr>
          <w:rFonts w:ascii="Arial" w:hAnsi="Arial" w:cs="Arial"/>
        </w:rPr>
      </w:pPr>
    </w:p>
    <w:p w14:paraId="384139D2" w14:textId="6EAA6EF5" w:rsidR="00C3707D" w:rsidRPr="000D0DF5" w:rsidRDefault="00C3707D" w:rsidP="00A77FE6">
      <w:pPr>
        <w:spacing w:line="276" w:lineRule="auto"/>
        <w:jc w:val="both"/>
        <w:rPr>
          <w:rFonts w:ascii="Arial" w:hAnsi="Arial" w:cs="Arial"/>
        </w:rPr>
      </w:pPr>
    </w:p>
    <w:p w14:paraId="1B6F9F1F" w14:textId="7A110244" w:rsidR="00C3707D" w:rsidRPr="000D0DF5" w:rsidRDefault="00C3707D" w:rsidP="00A77FE6">
      <w:pPr>
        <w:spacing w:line="276" w:lineRule="auto"/>
        <w:jc w:val="both"/>
        <w:rPr>
          <w:rFonts w:ascii="Arial" w:hAnsi="Arial" w:cs="Arial"/>
        </w:rPr>
      </w:pPr>
    </w:p>
    <w:p w14:paraId="7990E91B" w14:textId="6BFF0404" w:rsidR="00C3707D" w:rsidRPr="000D0DF5" w:rsidRDefault="00C3707D" w:rsidP="00A77FE6">
      <w:pPr>
        <w:spacing w:line="276" w:lineRule="auto"/>
        <w:jc w:val="both"/>
        <w:rPr>
          <w:rFonts w:ascii="Arial" w:hAnsi="Arial" w:cs="Arial"/>
        </w:rPr>
      </w:pPr>
    </w:p>
    <w:p w14:paraId="314A1141" w14:textId="1C701BC3" w:rsidR="00C3707D" w:rsidRPr="000D0DF5" w:rsidRDefault="00C3707D" w:rsidP="00A77FE6">
      <w:pPr>
        <w:spacing w:line="276" w:lineRule="auto"/>
        <w:jc w:val="both"/>
        <w:rPr>
          <w:rFonts w:ascii="Arial" w:hAnsi="Arial" w:cs="Arial"/>
        </w:rPr>
      </w:pPr>
    </w:p>
    <w:p w14:paraId="13E5C476" w14:textId="77777777" w:rsidR="00C3707D" w:rsidRPr="000D0DF5" w:rsidRDefault="00C3707D" w:rsidP="00A77FE6">
      <w:pPr>
        <w:spacing w:line="276" w:lineRule="auto"/>
        <w:jc w:val="both"/>
        <w:rPr>
          <w:rFonts w:ascii="Arial" w:hAnsi="Arial" w:cs="Arial"/>
        </w:rPr>
      </w:pPr>
    </w:p>
    <w:p w14:paraId="7E54419D" w14:textId="64A04E7D" w:rsidR="00AA3E08" w:rsidRPr="000D0DF5" w:rsidRDefault="008F35D2" w:rsidP="0062236B">
      <w:pPr>
        <w:spacing w:line="276" w:lineRule="auto"/>
        <w:jc w:val="both"/>
        <w:rPr>
          <w:rFonts w:ascii="Arial" w:hAnsi="Arial" w:cs="Arial"/>
          <w:b/>
        </w:rPr>
      </w:pPr>
      <w:r w:rsidRPr="000D0DF5">
        <w:rPr>
          <w:rFonts w:ascii="Arial" w:hAnsi="Arial" w:cs="Arial"/>
          <w:b/>
        </w:rPr>
        <w:lastRenderedPageBreak/>
        <w:t>Graf č. 8:</w:t>
      </w:r>
      <w:r w:rsidR="00A60784" w:rsidRPr="000D0DF5">
        <w:rPr>
          <w:rFonts w:ascii="Arial" w:hAnsi="Arial" w:cs="Arial"/>
          <w:b/>
        </w:rPr>
        <w:t xml:space="preserve"> Průměry pociťované studijní zátěže a stresu podle poměru</w:t>
      </w:r>
      <w:r w:rsidR="00FC6DCE" w:rsidRPr="000D0DF5">
        <w:rPr>
          <w:rFonts w:ascii="Arial" w:hAnsi="Arial" w:cs="Arial"/>
          <w:b/>
        </w:rPr>
        <w:t xml:space="preserve"> nárůstu</w:t>
      </w:r>
      <w:r w:rsidR="00A60784" w:rsidRPr="000D0DF5">
        <w:rPr>
          <w:rFonts w:ascii="Arial" w:hAnsi="Arial" w:cs="Arial"/>
          <w:b/>
        </w:rPr>
        <w:t xml:space="preserve"> online výuky a osobního studia</w:t>
      </w:r>
      <w:r w:rsidR="00FC6DCE" w:rsidRPr="000D0DF5">
        <w:rPr>
          <w:rFonts w:ascii="Arial" w:hAnsi="Arial" w:cs="Arial"/>
          <w:b/>
        </w:rPr>
        <w:t xml:space="preserve"> před a během pandemie COVID-19</w:t>
      </w:r>
    </w:p>
    <w:p w14:paraId="132B7C55" w14:textId="744CD368" w:rsidR="008F35D2" w:rsidRPr="000D0DF5" w:rsidRDefault="003F4DBD" w:rsidP="0062236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 w14:anchorId="2CD83190">
          <v:shape id="_x0000_i1027" type="#_x0000_t75" style="width:481.5pt;height:270pt">
            <v:imagedata r:id="rId16" o:title="zatez_stre3"/>
          </v:shape>
        </w:pict>
      </w:r>
    </w:p>
    <w:p w14:paraId="2089495D" w14:textId="77777777" w:rsidR="00A60784" w:rsidRPr="000D0DF5" w:rsidRDefault="00A60784" w:rsidP="00A60784">
      <w:pPr>
        <w:spacing w:line="276" w:lineRule="auto"/>
        <w:jc w:val="both"/>
        <w:rPr>
          <w:rFonts w:ascii="Arial" w:hAnsi="Arial" w:cs="Arial"/>
          <w:b/>
          <w:sz w:val="20"/>
          <w:szCs w:val="18"/>
        </w:rPr>
      </w:pPr>
      <w:r w:rsidRPr="000D0DF5">
        <w:rPr>
          <w:rFonts w:ascii="Arial" w:hAnsi="Arial" w:cs="Arial"/>
          <w:sz w:val="20"/>
          <w:szCs w:val="18"/>
        </w:rPr>
        <w:t>N=6497</w:t>
      </w:r>
    </w:p>
    <w:p w14:paraId="016614F5" w14:textId="4588C351" w:rsidR="00AA3E08" w:rsidRDefault="00AA3E08" w:rsidP="0062236B">
      <w:pPr>
        <w:spacing w:line="276" w:lineRule="auto"/>
        <w:jc w:val="both"/>
        <w:rPr>
          <w:rFonts w:ascii="Arial" w:hAnsi="Arial" w:cs="Arial"/>
        </w:rPr>
      </w:pPr>
    </w:p>
    <w:p w14:paraId="6A60D652" w14:textId="77777777" w:rsidR="005040B1" w:rsidRPr="000D0DF5" w:rsidRDefault="005040B1" w:rsidP="0062236B">
      <w:pPr>
        <w:spacing w:line="276" w:lineRule="auto"/>
        <w:jc w:val="both"/>
        <w:rPr>
          <w:rFonts w:ascii="Arial" w:hAnsi="Arial" w:cs="Arial"/>
        </w:rPr>
      </w:pPr>
    </w:p>
    <w:p w14:paraId="313924C8" w14:textId="4A43338F" w:rsidR="0062236B" w:rsidRPr="000D0DF5" w:rsidRDefault="0062236B" w:rsidP="0062236B">
      <w:pPr>
        <w:spacing w:line="276" w:lineRule="auto"/>
        <w:rPr>
          <w:rFonts w:ascii="Arial" w:hAnsi="Arial" w:cs="Arial"/>
          <w:b/>
          <w:sz w:val="24"/>
        </w:rPr>
      </w:pPr>
      <w:r w:rsidRPr="000D0DF5">
        <w:rPr>
          <w:rFonts w:ascii="Arial" w:hAnsi="Arial" w:cs="Arial"/>
          <w:b/>
          <w:sz w:val="24"/>
        </w:rPr>
        <w:t>Kontakt</w:t>
      </w:r>
    </w:p>
    <w:p w14:paraId="0F1DE44C" w14:textId="5782BC48" w:rsidR="008E73EE" w:rsidRPr="005040B1" w:rsidRDefault="008E73EE" w:rsidP="005040B1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5040B1">
        <w:rPr>
          <w:rFonts w:ascii="Arial" w:hAnsi="Arial" w:cs="Arial"/>
          <w:b/>
        </w:rPr>
        <w:t>Jan Klusáček</w:t>
      </w:r>
      <w:r w:rsidRPr="005040B1">
        <w:rPr>
          <w:rFonts w:ascii="Arial" w:hAnsi="Arial" w:cs="Arial"/>
        </w:rPr>
        <w:t>, tel.: 210 310 215, e-mail: jan.klusacek@soc.cas.cz</w:t>
      </w:r>
    </w:p>
    <w:p w14:paraId="7844ECA3" w14:textId="1C44F209" w:rsidR="0062236B" w:rsidRPr="005040B1" w:rsidRDefault="00096D4F" w:rsidP="005040B1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5040B1">
        <w:rPr>
          <w:rFonts w:ascii="Arial" w:hAnsi="Arial" w:cs="Arial"/>
          <w:b/>
        </w:rPr>
        <w:t>Michaela Kudrnáčová</w:t>
      </w:r>
      <w:r w:rsidR="0062236B" w:rsidRPr="005040B1">
        <w:rPr>
          <w:rFonts w:ascii="Arial" w:hAnsi="Arial" w:cs="Arial"/>
        </w:rPr>
        <w:t xml:space="preserve">, </w:t>
      </w:r>
      <w:r w:rsidR="008E73EE" w:rsidRPr="005040B1">
        <w:rPr>
          <w:rFonts w:ascii="Arial" w:hAnsi="Arial" w:cs="Arial"/>
        </w:rPr>
        <w:t xml:space="preserve">tel.: 210 310 215, e-mail: </w:t>
      </w:r>
      <w:r w:rsidR="00FD5AA7" w:rsidRPr="005040B1">
        <w:rPr>
          <w:rFonts w:ascii="Arial" w:hAnsi="Arial" w:cs="Arial"/>
        </w:rPr>
        <w:t>michaela.kudrnacova@soc.cas.cz</w:t>
      </w:r>
    </w:p>
    <w:p w14:paraId="07371D35" w14:textId="2384E563" w:rsidR="001360AD" w:rsidRPr="005040B1" w:rsidRDefault="00FD5AA7" w:rsidP="005040B1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5040B1">
        <w:rPr>
          <w:rFonts w:ascii="Arial" w:hAnsi="Arial" w:cs="Arial"/>
          <w:b/>
        </w:rPr>
        <w:t>Petr Soukup</w:t>
      </w:r>
      <w:r w:rsidRPr="005040B1">
        <w:rPr>
          <w:rFonts w:ascii="Arial" w:hAnsi="Arial" w:cs="Arial"/>
        </w:rPr>
        <w:t>, tel. 777 942 208, e-mail: petr.soukup@fsv.cuni.cz</w:t>
      </w:r>
    </w:p>
    <w:p w14:paraId="6868349F" w14:textId="77777777" w:rsidR="001360AD" w:rsidRPr="000D0DF5" w:rsidRDefault="001360AD" w:rsidP="001360AD">
      <w:pPr>
        <w:rPr>
          <w:rFonts w:ascii="Arial" w:hAnsi="Arial" w:cs="Arial"/>
        </w:rPr>
      </w:pPr>
    </w:p>
    <w:p w14:paraId="00B7A4B6" w14:textId="77777777" w:rsidR="001360AD" w:rsidRPr="000D0DF5" w:rsidRDefault="001360AD" w:rsidP="001360AD">
      <w:pPr>
        <w:rPr>
          <w:rFonts w:ascii="Arial" w:hAnsi="Arial" w:cs="Arial"/>
        </w:rPr>
      </w:pPr>
    </w:p>
    <w:p w14:paraId="203691A4" w14:textId="77777777" w:rsidR="00A875F3" w:rsidRPr="000D0DF5" w:rsidRDefault="00A875F3" w:rsidP="001360AD">
      <w:pPr>
        <w:rPr>
          <w:rFonts w:ascii="Arial" w:hAnsi="Arial" w:cs="Arial"/>
        </w:rPr>
      </w:pPr>
    </w:p>
    <w:sectPr w:rsidR="00A875F3" w:rsidRPr="000D0DF5" w:rsidSect="0062236B">
      <w:headerReference w:type="default" r:id="rId17"/>
      <w:footerReference w:type="default" r:id="rId18"/>
      <w:pgSz w:w="11906" w:h="16838"/>
      <w:pgMar w:top="2268" w:right="1134" w:bottom="1418" w:left="1134" w:header="68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6820D" w16cex:dateUtc="2020-09-11T21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79F73" w14:textId="77777777" w:rsidR="00064CA7" w:rsidRDefault="00064CA7" w:rsidP="00B526FA">
      <w:pPr>
        <w:spacing w:after="0" w:line="240" w:lineRule="auto"/>
      </w:pPr>
      <w:r>
        <w:separator/>
      </w:r>
    </w:p>
  </w:endnote>
  <w:endnote w:type="continuationSeparator" w:id="0">
    <w:p w14:paraId="7BC1D6F0" w14:textId="77777777" w:rsidR="00064CA7" w:rsidRDefault="00064CA7" w:rsidP="00B5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0"/>
      <w:gridCol w:w="2900"/>
      <w:gridCol w:w="2892"/>
    </w:tblGrid>
    <w:tr w:rsidR="00346C0E" w:rsidRPr="0026504F" w14:paraId="3A9FECBD" w14:textId="77777777" w:rsidTr="0026504F">
      <w:trPr>
        <w:trHeight w:val="851"/>
      </w:trPr>
      <w:tc>
        <w:tcPr>
          <w:tcW w:w="3280" w:type="dxa"/>
        </w:tcPr>
        <w:p w14:paraId="529FF155" w14:textId="77777777" w:rsidR="001360AD" w:rsidRPr="0026504F" w:rsidRDefault="001360AD" w:rsidP="001360AD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Sociologický ústav AV ČR, v.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v.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i.</w:t>
          </w:r>
        </w:p>
        <w:p w14:paraId="5CFA3506" w14:textId="77777777" w:rsidR="001360AD" w:rsidRDefault="001360AD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>
            <w:rPr>
              <w:rFonts w:ascii="Arial" w:hAnsi="Arial" w:cs="Arial"/>
              <w:color w:val="0072B6"/>
              <w:sz w:val="20"/>
              <w:szCs w:val="20"/>
            </w:rPr>
            <w:t>Tiskové a ediční oddělení</w:t>
          </w:r>
        </w:p>
        <w:p w14:paraId="05D11DA5" w14:textId="77777777" w:rsidR="00346C0E" w:rsidRPr="0026504F" w:rsidRDefault="00346C0E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Jilská 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>361/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1, 110 00 Praha 1</w:t>
          </w:r>
        </w:p>
        <w:p w14:paraId="426AFD16" w14:textId="77777777" w:rsidR="00346C0E" w:rsidRPr="0026504F" w:rsidRDefault="00346C0E" w:rsidP="0050051C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IČ: 68378025</w:t>
          </w:r>
          <w:r w:rsidR="0050051C"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 DIČ: CZ68378025</w:t>
          </w:r>
        </w:p>
      </w:tc>
      <w:tc>
        <w:tcPr>
          <w:tcW w:w="2900" w:type="dxa"/>
        </w:tcPr>
        <w:p w14:paraId="1D7C0D09" w14:textId="77777777" w:rsidR="00346C0E" w:rsidRPr="0026504F" w:rsidRDefault="00346C0E" w:rsidP="001360AD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T: +420 210 310 </w:t>
          </w:r>
          <w:r w:rsidR="001360AD">
            <w:rPr>
              <w:rFonts w:ascii="Arial" w:hAnsi="Arial" w:cs="Arial"/>
              <w:color w:val="0072B6"/>
              <w:sz w:val="20"/>
              <w:szCs w:val="20"/>
            </w:rPr>
            <w:t>596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br/>
            <w:t xml:space="preserve">E: </w:t>
          </w:r>
          <w:r w:rsidR="001360AD">
            <w:rPr>
              <w:rFonts w:ascii="Arial" w:hAnsi="Arial" w:cs="Arial"/>
              <w:color w:val="0072B6"/>
              <w:sz w:val="20"/>
              <w:szCs w:val="20"/>
            </w:rPr>
            <w:t>tiskove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@soc.cas.cz</w:t>
          </w:r>
        </w:p>
      </w:tc>
      <w:tc>
        <w:tcPr>
          <w:tcW w:w="2892" w:type="dxa"/>
        </w:tcPr>
        <w:sdt>
          <w:sdtPr>
            <w:rPr>
              <w:rFonts w:ascii="Arial" w:hAnsi="Arial" w:cs="Arial"/>
              <w:color w:val="0072B6"/>
              <w:sz w:val="20"/>
              <w:szCs w:val="20"/>
            </w:rPr>
            <w:id w:val="-3689473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72B6"/>
                  <w:sz w:val="20"/>
                  <w:szCs w:val="20"/>
                </w:rPr>
                <w:id w:val="-117087125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B0CD628" w14:textId="77777777" w:rsidR="0026504F" w:rsidRDefault="0026504F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</w:p>
                <w:p w14:paraId="768085BC" w14:textId="51759B31" w:rsidR="00346C0E" w:rsidRPr="0026504F" w:rsidRDefault="00346C0E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  <w:r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 xml:space="preserve">Strana 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PAGE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EA5C82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7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  <w:r w:rsidR="008147C7"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>/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NUMPAGES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EA5C82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7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  <w:p w14:paraId="3B9768E5" w14:textId="77777777" w:rsidR="00346C0E" w:rsidRPr="0026504F" w:rsidRDefault="00346C0E" w:rsidP="00B526FA">
          <w:pPr>
            <w:rPr>
              <w:rFonts w:ascii="Arial" w:hAnsi="Arial" w:cs="Arial"/>
              <w:color w:val="0072B6"/>
              <w:sz w:val="20"/>
              <w:szCs w:val="20"/>
            </w:rPr>
          </w:pPr>
        </w:p>
      </w:tc>
    </w:tr>
  </w:tbl>
  <w:p w14:paraId="2449D672" w14:textId="77777777" w:rsidR="00B526FA" w:rsidRPr="0026504F" w:rsidRDefault="0062236B">
    <w:pPr>
      <w:pStyle w:val="Zpat"/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3D55C9A" wp14:editId="0B4E5CDD">
          <wp:simplePos x="0" y="0"/>
          <wp:positionH relativeFrom="column">
            <wp:posOffset>1967230</wp:posOffset>
          </wp:positionH>
          <wp:positionV relativeFrom="paragraph">
            <wp:posOffset>-1082675</wp:posOffset>
          </wp:positionV>
          <wp:extent cx="4225925" cy="1054735"/>
          <wp:effectExtent l="0" t="0" r="3175" b="0"/>
          <wp:wrapNone/>
          <wp:docPr id="1" name="Obrázek 1" descr="vek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k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592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D693E" w14:textId="77777777" w:rsidR="00064CA7" w:rsidRDefault="00064CA7" w:rsidP="00B526FA">
      <w:pPr>
        <w:spacing w:after="0" w:line="240" w:lineRule="auto"/>
      </w:pPr>
      <w:r>
        <w:separator/>
      </w:r>
    </w:p>
  </w:footnote>
  <w:footnote w:type="continuationSeparator" w:id="0">
    <w:p w14:paraId="0D0B7F89" w14:textId="77777777" w:rsidR="00064CA7" w:rsidRDefault="00064CA7" w:rsidP="00B5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D130C" w14:textId="04A6076C" w:rsidR="00282864" w:rsidRDefault="00064CA7" w:rsidP="00282864">
    <w:pPr>
      <w:jc w:val="right"/>
    </w:pPr>
    <w:r>
      <w:rPr>
        <w:noProof/>
      </w:rPr>
      <w:pict w14:anchorId="78A59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50.15pt;margin-top:-11.45pt;width:187.4pt;height:58.6pt;z-index:251663360;mso-position-horizontal-relative:text;mso-position-vertical-relative:text">
          <v:imagedata r:id="rId1" o:title="logotyp fakulty rgb1"/>
          <w10:wrap type="square"/>
        </v:shape>
      </w:pict>
    </w:r>
    <w:r w:rsidR="0062236B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8FDF570" wp14:editId="615CCCB5">
          <wp:simplePos x="0" y="0"/>
          <wp:positionH relativeFrom="margin">
            <wp:align>left</wp:align>
          </wp:positionH>
          <wp:positionV relativeFrom="paragraph">
            <wp:posOffset>14767</wp:posOffset>
          </wp:positionV>
          <wp:extent cx="1796902" cy="437564"/>
          <wp:effectExtent l="0" t="0" r="0" b="635"/>
          <wp:wrapNone/>
          <wp:docPr id="2" name="Obrázek 2" descr="logo_S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O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902" cy="437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64">
      <w:tab/>
    </w:r>
    <w:r w:rsidR="00282864">
      <w:tab/>
    </w:r>
  </w:p>
  <w:p w14:paraId="07D056F4" w14:textId="77777777" w:rsidR="00346C0E" w:rsidRDefault="0062236B" w:rsidP="00282864">
    <w:pPr>
      <w:jc w:val="right"/>
    </w:pPr>
    <w:r>
      <w:rPr>
        <w:rFonts w:ascii="Arial" w:hAnsi="Arial" w:cs="Arial"/>
        <w:b/>
        <w:color w:val="0072B6"/>
        <w:sz w:val="24"/>
      </w:rPr>
      <w:br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80A06"/>
    <w:multiLevelType w:val="hybridMultilevel"/>
    <w:tmpl w:val="68446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010BC"/>
    <w:multiLevelType w:val="hybridMultilevel"/>
    <w:tmpl w:val="469C1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314CF"/>
    <w:multiLevelType w:val="hybridMultilevel"/>
    <w:tmpl w:val="E1F2B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F3"/>
    <w:rsid w:val="00035053"/>
    <w:rsid w:val="00064CA7"/>
    <w:rsid w:val="00096D4F"/>
    <w:rsid w:val="000B19B5"/>
    <w:rsid w:val="000B6AC7"/>
    <w:rsid w:val="000D0DF5"/>
    <w:rsid w:val="000D2667"/>
    <w:rsid w:val="000D3B8E"/>
    <w:rsid w:val="000E26F8"/>
    <w:rsid w:val="000F000E"/>
    <w:rsid w:val="000F6979"/>
    <w:rsid w:val="001360AD"/>
    <w:rsid w:val="0016017C"/>
    <w:rsid w:val="00175873"/>
    <w:rsid w:val="00177E89"/>
    <w:rsid w:val="001B6341"/>
    <w:rsid w:val="001C4BAA"/>
    <w:rsid w:val="00210355"/>
    <w:rsid w:val="00230D72"/>
    <w:rsid w:val="0026504F"/>
    <w:rsid w:val="002735DE"/>
    <w:rsid w:val="00282864"/>
    <w:rsid w:val="002C6A68"/>
    <w:rsid w:val="00304A21"/>
    <w:rsid w:val="00316110"/>
    <w:rsid w:val="00346C0E"/>
    <w:rsid w:val="00353A8B"/>
    <w:rsid w:val="00380222"/>
    <w:rsid w:val="003F4DBD"/>
    <w:rsid w:val="003F4E0B"/>
    <w:rsid w:val="004131D1"/>
    <w:rsid w:val="00414B6D"/>
    <w:rsid w:val="004324F1"/>
    <w:rsid w:val="0047303C"/>
    <w:rsid w:val="004777F8"/>
    <w:rsid w:val="004A1C26"/>
    <w:rsid w:val="004A3677"/>
    <w:rsid w:val="004B0AA4"/>
    <w:rsid w:val="0050051C"/>
    <w:rsid w:val="005040B1"/>
    <w:rsid w:val="00530015"/>
    <w:rsid w:val="00560EAD"/>
    <w:rsid w:val="00562D06"/>
    <w:rsid w:val="0059352F"/>
    <w:rsid w:val="005C5973"/>
    <w:rsid w:val="005D30E6"/>
    <w:rsid w:val="005D4B00"/>
    <w:rsid w:val="005F2966"/>
    <w:rsid w:val="0062236B"/>
    <w:rsid w:val="00622F5B"/>
    <w:rsid w:val="0063642B"/>
    <w:rsid w:val="006458B2"/>
    <w:rsid w:val="00654AA9"/>
    <w:rsid w:val="00680F24"/>
    <w:rsid w:val="006F6843"/>
    <w:rsid w:val="007377BA"/>
    <w:rsid w:val="007B2612"/>
    <w:rsid w:val="007F4E70"/>
    <w:rsid w:val="008147C7"/>
    <w:rsid w:val="0082409F"/>
    <w:rsid w:val="00887612"/>
    <w:rsid w:val="00892F12"/>
    <w:rsid w:val="00896EDE"/>
    <w:rsid w:val="008A436A"/>
    <w:rsid w:val="008A5034"/>
    <w:rsid w:val="008D2E32"/>
    <w:rsid w:val="008E567F"/>
    <w:rsid w:val="008E5CA6"/>
    <w:rsid w:val="008E73EE"/>
    <w:rsid w:val="008F35D2"/>
    <w:rsid w:val="009000E6"/>
    <w:rsid w:val="0093329C"/>
    <w:rsid w:val="00960607"/>
    <w:rsid w:val="009B038D"/>
    <w:rsid w:val="009C4475"/>
    <w:rsid w:val="00A60784"/>
    <w:rsid w:val="00A634C9"/>
    <w:rsid w:val="00A717E7"/>
    <w:rsid w:val="00A77FE6"/>
    <w:rsid w:val="00A875F3"/>
    <w:rsid w:val="00AA3E08"/>
    <w:rsid w:val="00AB3E74"/>
    <w:rsid w:val="00AC03D1"/>
    <w:rsid w:val="00AC7D61"/>
    <w:rsid w:val="00AD24F8"/>
    <w:rsid w:val="00B27129"/>
    <w:rsid w:val="00B306A2"/>
    <w:rsid w:val="00B41B5C"/>
    <w:rsid w:val="00B526FA"/>
    <w:rsid w:val="00B81544"/>
    <w:rsid w:val="00BC6B14"/>
    <w:rsid w:val="00BD4C12"/>
    <w:rsid w:val="00C34113"/>
    <w:rsid w:val="00C3707D"/>
    <w:rsid w:val="00C80AA1"/>
    <w:rsid w:val="00CE0299"/>
    <w:rsid w:val="00CF2475"/>
    <w:rsid w:val="00D607BA"/>
    <w:rsid w:val="00D76194"/>
    <w:rsid w:val="00DE76D7"/>
    <w:rsid w:val="00DF1899"/>
    <w:rsid w:val="00E20775"/>
    <w:rsid w:val="00E312FE"/>
    <w:rsid w:val="00E613A8"/>
    <w:rsid w:val="00E770EE"/>
    <w:rsid w:val="00E967CE"/>
    <w:rsid w:val="00E97027"/>
    <w:rsid w:val="00EA5C82"/>
    <w:rsid w:val="00EA7099"/>
    <w:rsid w:val="00ED6EC9"/>
    <w:rsid w:val="00F238FF"/>
    <w:rsid w:val="00F276BB"/>
    <w:rsid w:val="00F30686"/>
    <w:rsid w:val="00F712B5"/>
    <w:rsid w:val="00F864AD"/>
    <w:rsid w:val="00FA268E"/>
    <w:rsid w:val="00FB2943"/>
    <w:rsid w:val="00FB31FE"/>
    <w:rsid w:val="00FB3304"/>
    <w:rsid w:val="00FC3C0C"/>
    <w:rsid w:val="00FC6DCE"/>
    <w:rsid w:val="00FD249B"/>
    <w:rsid w:val="00FD5AA7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52DE82"/>
  <w15:chartTrackingRefBased/>
  <w15:docId w15:val="{6CD1A974-79A7-4924-ADCB-921F1728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A875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0"/>
      <w:szCs w:val="1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75F3"/>
    <w:rPr>
      <w:rFonts w:ascii="Arial" w:eastAsia="Arial" w:hAnsi="Arial" w:cs="Arial"/>
      <w:sz w:val="10"/>
      <w:szCs w:val="1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6FA"/>
  </w:style>
  <w:style w:type="paragraph" w:styleId="Zpat">
    <w:name w:val="footer"/>
    <w:basedOn w:val="Normln"/>
    <w:link w:val="Zpat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6FA"/>
  </w:style>
  <w:style w:type="character" w:styleId="Hypertextovodkaz">
    <w:name w:val="Hyperlink"/>
    <w:basedOn w:val="Standardnpsmoodstavce"/>
    <w:uiPriority w:val="99"/>
    <w:unhideWhenUsed/>
    <w:rsid w:val="00B526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7C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A36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36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36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36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3677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89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C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ela.kudrnacova\Nextcloud\COVID-19%20International%20Student%20Well-being%20Study\Olomouc%20a%20tiskov&#225;%20zpr&#225;va\Podklady\&#268;&#225;ste&#269;n&#283;%20aktu&#225;ln&#23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chaela.kudrnacova\Nextcloud\COVID-19%20International%20Student%20Well-being%20Study\Olomouc%20a%20tiskov&#225;%20zpr&#225;va\Podklady\&#268;&#225;ste&#269;n&#283;%20aktu&#225;ln&#237;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michaela.kudrnacova\Nextcloud\COVID-19%20International%20Student%20Well-being%20Study\Olomouc%20a%20tiskov&#225;%20zpr&#225;va\Podklady\&#268;&#225;ste&#269;n&#283;%20aktu&#225;ln&#237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michaela.kudrnacova\Nextcloud\COVID-19%20International%20Student%20Well-being%20Study\Olomouc%20a%20tiskov&#225;%20zpr&#225;va\Podklady\&#268;&#225;ste&#269;n&#283;%20aktu&#225;ln&#23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chemeClr val="accent1">
                  <a:lumMod val="40000"/>
                  <a:lumOff val="60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>
                <a:solidFill>
                  <a:schemeClr val="accent3">
                    <a:lumMod val="40000"/>
                    <a:lumOff val="6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6A-49A9-B715-C4C3A57FDC6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Tabulky!$S$29:$S$37</c:f>
              <c:strCache>
                <c:ptCount val="9"/>
                <c:pt idx="0">
                  <c:v>Nechci říct</c:v>
                </c:pt>
                <c:pt idx="1">
                  <c:v>Rakovina</c:v>
                </c:pt>
                <c:pt idx="2">
                  <c:v>Diabetes</c:v>
                </c:pt>
                <c:pt idx="3">
                  <c:v>Onemocnění ledvin</c:v>
                </c:pt>
                <c:pt idx="4">
                  <c:v>Srdeční choroba</c:v>
                </c:pt>
                <c:pt idx="5">
                  <c:v>Vysoký tlak</c:v>
                </c:pt>
                <c:pt idx="6">
                  <c:v>Oslabená imunita</c:v>
                </c:pt>
                <c:pt idx="7">
                  <c:v>Plicní onemocnění</c:v>
                </c:pt>
                <c:pt idx="8">
                  <c:v>Obezita</c:v>
                </c:pt>
              </c:strCache>
            </c:strRef>
          </c:cat>
          <c:val>
            <c:numRef>
              <c:f>Tabulky!$T$29:$T$37</c:f>
              <c:numCache>
                <c:formatCode>General</c:formatCode>
                <c:ptCount val="9"/>
                <c:pt idx="0">
                  <c:v>140</c:v>
                </c:pt>
                <c:pt idx="1">
                  <c:v>15</c:v>
                </c:pt>
                <c:pt idx="2">
                  <c:v>44</c:v>
                </c:pt>
                <c:pt idx="3">
                  <c:v>64</c:v>
                </c:pt>
                <c:pt idx="4">
                  <c:v>111</c:v>
                </c:pt>
                <c:pt idx="5">
                  <c:v>180</c:v>
                </c:pt>
                <c:pt idx="6">
                  <c:v>183</c:v>
                </c:pt>
                <c:pt idx="7">
                  <c:v>319</c:v>
                </c:pt>
                <c:pt idx="8">
                  <c:v>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6A-49A9-B715-C4C3A57FDC6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2"/>
        <c:axId val="516178856"/>
        <c:axId val="516174264"/>
      </c:barChart>
      <c:catAx>
        <c:axId val="516178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6174264"/>
        <c:crosses val="autoZero"/>
        <c:auto val="1"/>
        <c:lblAlgn val="ctr"/>
        <c:lblOffset val="100"/>
        <c:noMultiLvlLbl val="0"/>
      </c:catAx>
      <c:valAx>
        <c:axId val="51617426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6178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592425120358835E-2"/>
          <c:y val="4.583333333333333E-2"/>
          <c:w val="0.88458050047621417"/>
          <c:h val="0.756760512623627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Osamělost!$D$17</c:f>
              <c:strCache>
                <c:ptCount val="1"/>
                <c:pt idx="0">
                  <c:v>Percent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3F5-4509-917F-3FF20965D745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3F5-4509-917F-3FF20965D745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3F5-4509-917F-3FF20965D745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3F5-4509-917F-3FF20965D745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33F5-4509-917F-3FF20965D745}"/>
              </c:ext>
            </c:extLst>
          </c:dPt>
          <c:dPt>
            <c:idx val="5"/>
            <c:invertIfNegative val="0"/>
            <c:bubble3D val="0"/>
            <c:spPr>
              <a:solidFill>
                <a:srgbClr val="F6A69E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33F5-4509-917F-3FF20965D745}"/>
              </c:ext>
            </c:extLst>
          </c:dPt>
          <c:dPt>
            <c:idx val="6"/>
            <c:invertIfNegative val="0"/>
            <c:bubble3D val="0"/>
            <c:spPr>
              <a:solidFill>
                <a:srgbClr val="F6A69E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33F5-4509-917F-3FF20965D745}"/>
              </c:ext>
            </c:extLst>
          </c:dPt>
          <c:dPt>
            <c:idx val="7"/>
            <c:invertIfNegative val="0"/>
            <c:bubble3D val="0"/>
            <c:spPr>
              <a:solidFill>
                <a:srgbClr val="F6A69E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33F5-4509-917F-3FF20965D745}"/>
              </c:ext>
            </c:extLst>
          </c:dPt>
          <c:dPt>
            <c:idx val="8"/>
            <c:invertIfNegative val="0"/>
            <c:bubble3D val="0"/>
            <c:spPr>
              <a:solidFill>
                <a:srgbClr val="F6A69E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33F5-4509-917F-3FF20965D745}"/>
              </c:ext>
            </c:extLst>
          </c:dPt>
          <c:dPt>
            <c:idx val="9"/>
            <c:invertIfNegative val="0"/>
            <c:bubble3D val="0"/>
            <c:spPr>
              <a:solidFill>
                <a:srgbClr val="F6A69E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33F5-4509-917F-3FF20965D74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Osamělost!$C$18:$C$27</c:f>
              <c:numCache>
                <c:formatCode>General</c:formatCode>
                <c:ptCount val="10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10</c:v>
                </c:pt>
                <c:pt idx="8">
                  <c:v>11</c:v>
                </c:pt>
                <c:pt idx="9">
                  <c:v>12</c:v>
                </c:pt>
              </c:numCache>
            </c:numRef>
          </c:cat>
          <c:val>
            <c:numRef>
              <c:f>Osamělost!$D$18:$D$27</c:f>
              <c:numCache>
                <c:formatCode>0.0%</c:formatCode>
                <c:ptCount val="10"/>
                <c:pt idx="0">
                  <c:v>0.13992217898832685</c:v>
                </c:pt>
                <c:pt idx="1">
                  <c:v>0.10459143968871595</c:v>
                </c:pt>
                <c:pt idx="2">
                  <c:v>0.11657587548638132</c:v>
                </c:pt>
                <c:pt idx="3">
                  <c:v>0.14708171206225681</c:v>
                </c:pt>
                <c:pt idx="4">
                  <c:v>0.11688715953307394</c:v>
                </c:pt>
                <c:pt idx="5">
                  <c:v>0.13027237354085602</c:v>
                </c:pt>
                <c:pt idx="6">
                  <c:v>0.10272373540856031</c:v>
                </c:pt>
                <c:pt idx="7">
                  <c:v>6.2568093385214005E-2</c:v>
                </c:pt>
                <c:pt idx="8">
                  <c:v>4.5758754863813228E-2</c:v>
                </c:pt>
                <c:pt idx="9">
                  <c:v>3.3618677042801554E-2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3F5-4509-917F-3FF20965D74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"/>
        <c:overlap val="92"/>
        <c:axId val="509358744"/>
        <c:axId val="509354480"/>
      </c:barChart>
      <c:catAx>
        <c:axId val="5093587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9354480"/>
        <c:crosses val="autoZero"/>
        <c:auto val="1"/>
        <c:lblAlgn val="ctr"/>
        <c:lblOffset val="100"/>
        <c:noMultiLvlLbl val="0"/>
      </c:catAx>
      <c:valAx>
        <c:axId val="509354480"/>
        <c:scaling>
          <c:orientation val="minMax"/>
          <c:max val="0.2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09358744"/>
        <c:crosses val="autoZero"/>
        <c:crossBetween val="between"/>
        <c:majorUnit val="5.000000000000001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Tabulky!$V$74</c:f>
              <c:strCache>
                <c:ptCount val="1"/>
                <c:pt idx="0">
                  <c:v>Během COVID</c:v>
                </c:pt>
              </c:strCache>
            </c:strRef>
          </c:tx>
          <c:spPr>
            <a:solidFill>
              <a:srgbClr val="ED7D31">
                <a:lumMod val="60000"/>
                <a:lumOff val="40000"/>
              </a:srgbClr>
            </a:solidFill>
            <a:ln>
              <a:solidFill>
                <a:srgbClr val="ED7D31">
                  <a:lumMod val="60000"/>
                  <a:lumOff val="40000"/>
                </a:srgb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solidFill>
                  <a:srgbClr val="ED7D31">
                    <a:lumMod val="60000"/>
                    <a:lumOff val="40000"/>
                  </a:srgb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B23-4B56-A2EC-BA667A0286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Tabulky!$U$75:$U$79</c:f>
              <c:strCache>
                <c:ptCount val="5"/>
                <c:pt idx="0">
                  <c:v>Rozhodně nesouhlasí</c:v>
                </c:pt>
                <c:pt idx="1">
                  <c:v>Nesouhlasí</c:v>
                </c:pt>
                <c:pt idx="2">
                  <c:v>Ani souhlas, ani nesouhlas</c:v>
                </c:pt>
                <c:pt idx="3">
                  <c:v>Souhlasí</c:v>
                </c:pt>
                <c:pt idx="4">
                  <c:v>Rozhodně souhlasí</c:v>
                </c:pt>
              </c:strCache>
            </c:strRef>
          </c:cat>
          <c:val>
            <c:numRef>
              <c:f>Tabulky!$V$75:$V$79</c:f>
              <c:numCache>
                <c:formatCode>0.0%</c:formatCode>
                <c:ptCount val="5"/>
                <c:pt idx="0">
                  <c:v>4.4999999999999998E-2</c:v>
                </c:pt>
                <c:pt idx="1">
                  <c:v>0.10300000000000001</c:v>
                </c:pt>
                <c:pt idx="2">
                  <c:v>0.12300000000000001</c:v>
                </c:pt>
                <c:pt idx="3">
                  <c:v>0.32700000000000001</c:v>
                </c:pt>
                <c:pt idx="4">
                  <c:v>0.40100000000000002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23-4B56-A2EC-BA667A028606}"/>
            </c:ext>
          </c:extLst>
        </c:ser>
        <c:ser>
          <c:idx val="1"/>
          <c:order val="1"/>
          <c:tx>
            <c:strRef>
              <c:f>Tabulky!$W$74</c:f>
              <c:strCache>
                <c:ptCount val="1"/>
                <c:pt idx="0">
                  <c:v>Před COVID</c:v>
                </c:pt>
              </c:strCache>
            </c:strRef>
          </c:tx>
          <c:spPr>
            <a:solidFill>
              <a:srgbClr val="5B9BD5">
                <a:lumMod val="40000"/>
                <a:lumOff val="60000"/>
              </a:srgbClr>
            </a:solidFill>
            <a:ln>
              <a:solidFill>
                <a:srgbClr val="5B9BD5">
                  <a:lumMod val="40000"/>
                  <a:lumOff val="60000"/>
                </a:srgb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Tabulky!$U$75:$U$79</c:f>
              <c:strCache>
                <c:ptCount val="5"/>
                <c:pt idx="0">
                  <c:v>Rozhodně nesouhlasí</c:v>
                </c:pt>
                <c:pt idx="1">
                  <c:v>Nesouhlasí</c:v>
                </c:pt>
                <c:pt idx="2">
                  <c:v>Ani souhlas, ani nesouhlas</c:v>
                </c:pt>
                <c:pt idx="3">
                  <c:v>Souhlasí</c:v>
                </c:pt>
                <c:pt idx="4">
                  <c:v>Rozhodně souhlasí</c:v>
                </c:pt>
              </c:strCache>
            </c:strRef>
          </c:cat>
          <c:val>
            <c:numRef>
              <c:f>Tabulky!$W$75:$W$79</c:f>
              <c:numCache>
                <c:formatCode>0.0%</c:formatCode>
                <c:ptCount val="5"/>
                <c:pt idx="0">
                  <c:v>0.01</c:v>
                </c:pt>
                <c:pt idx="1">
                  <c:v>3.2000000000000001E-2</c:v>
                </c:pt>
                <c:pt idx="2">
                  <c:v>6.9000000000000006E-2</c:v>
                </c:pt>
                <c:pt idx="3">
                  <c:v>0.38400000000000001</c:v>
                </c:pt>
                <c:pt idx="4">
                  <c:v>0.504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B23-4B56-A2EC-BA667A02860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2"/>
        <c:axId val="516178856"/>
        <c:axId val="516174264"/>
      </c:barChart>
      <c:catAx>
        <c:axId val="516178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6174264"/>
        <c:crosses val="autoZero"/>
        <c:auto val="1"/>
        <c:lblAlgn val="ctr"/>
        <c:lblOffset val="100"/>
        <c:noMultiLvlLbl val="0"/>
      </c:catAx>
      <c:valAx>
        <c:axId val="516174264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6178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Tabulky!$V$84</c:f>
              <c:strCache>
                <c:ptCount val="1"/>
                <c:pt idx="0">
                  <c:v>Během COVID</c:v>
                </c:pt>
              </c:strCache>
            </c:strRef>
          </c:tx>
          <c:spPr>
            <a:solidFill>
              <a:srgbClr val="ED7D31">
                <a:lumMod val="60000"/>
                <a:lumOff val="40000"/>
              </a:srgbClr>
            </a:solidFill>
            <a:ln>
              <a:solidFill>
                <a:srgbClr val="ED7D31">
                  <a:lumMod val="60000"/>
                  <a:lumOff val="40000"/>
                </a:srgb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ED7D31">
                  <a:lumMod val="40000"/>
                  <a:lumOff val="60000"/>
                </a:srgbClr>
              </a:solidFill>
              <a:ln>
                <a:solidFill>
                  <a:srgbClr val="ED7D31">
                    <a:lumMod val="40000"/>
                    <a:lumOff val="60000"/>
                  </a:srgb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0F0-4A22-9D53-78EB002BD9C9}"/>
              </c:ext>
            </c:extLst>
          </c:dPt>
          <c:dPt>
            <c:idx val="3"/>
            <c:invertIfNegative val="0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>
                <a:solidFill>
                  <a:srgbClr val="ED7D31">
                    <a:lumMod val="60000"/>
                    <a:lumOff val="40000"/>
                  </a:srgb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0F0-4A22-9D53-78EB002BD9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Tabulky!$U$85:$U$89</c:f>
              <c:strCache>
                <c:ptCount val="5"/>
                <c:pt idx="0">
                  <c:v>Jiné</c:v>
                </c:pt>
                <c:pt idx="1">
                  <c:v>Samostatný pronájem</c:v>
                </c:pt>
                <c:pt idx="2">
                  <c:v>Na koleji</c:v>
                </c:pt>
                <c:pt idx="3">
                  <c:v>S rodiči</c:v>
                </c:pt>
                <c:pt idx="4">
                  <c:v>Pronájem s dalšími</c:v>
                </c:pt>
              </c:strCache>
            </c:strRef>
          </c:cat>
          <c:val>
            <c:numRef>
              <c:f>Tabulky!$V$85:$V$89</c:f>
              <c:numCache>
                <c:formatCode>0.0%</c:formatCode>
                <c:ptCount val="5"/>
                <c:pt idx="0">
                  <c:v>0.129</c:v>
                </c:pt>
                <c:pt idx="1">
                  <c:v>9.0999999999999998E-2</c:v>
                </c:pt>
                <c:pt idx="2">
                  <c:v>3.2000000000000001E-2</c:v>
                </c:pt>
                <c:pt idx="3">
                  <c:v>0.59</c:v>
                </c:pt>
                <c:pt idx="4">
                  <c:v>0.159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F0-4A22-9D53-78EB002BD9C9}"/>
            </c:ext>
          </c:extLst>
        </c:ser>
        <c:ser>
          <c:idx val="1"/>
          <c:order val="1"/>
          <c:tx>
            <c:strRef>
              <c:f>Tabulky!$W$84</c:f>
              <c:strCache>
                <c:ptCount val="1"/>
                <c:pt idx="0">
                  <c:v>Před COVID</c:v>
                </c:pt>
              </c:strCache>
            </c:strRef>
          </c:tx>
          <c:spPr>
            <a:solidFill>
              <a:srgbClr val="5B9BD5">
                <a:lumMod val="40000"/>
                <a:lumOff val="60000"/>
              </a:srgbClr>
            </a:solidFill>
            <a:ln>
              <a:solidFill>
                <a:srgbClr val="5B9BD5">
                  <a:lumMod val="40000"/>
                  <a:lumOff val="60000"/>
                </a:srgb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5B9BD5">
                  <a:lumMod val="20000"/>
                  <a:lumOff val="80000"/>
                </a:srgbClr>
              </a:solidFill>
              <a:ln>
                <a:solidFill>
                  <a:srgbClr val="5B9BD5">
                    <a:lumMod val="20000"/>
                    <a:lumOff val="80000"/>
                  </a:srgb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E0F0-4A22-9D53-78EB002BD9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Tabulky!$U$85:$U$89</c:f>
              <c:strCache>
                <c:ptCount val="5"/>
                <c:pt idx="0">
                  <c:v>Jiné</c:v>
                </c:pt>
                <c:pt idx="1">
                  <c:v>Samostatný pronájem</c:v>
                </c:pt>
                <c:pt idx="2">
                  <c:v>Na koleji</c:v>
                </c:pt>
                <c:pt idx="3">
                  <c:v>S rodiči</c:v>
                </c:pt>
                <c:pt idx="4">
                  <c:v>Pronájem s dalšími</c:v>
                </c:pt>
              </c:strCache>
            </c:strRef>
          </c:cat>
          <c:val>
            <c:numRef>
              <c:f>Tabulky!$W$85:$W$89</c:f>
              <c:numCache>
                <c:formatCode>0.0%</c:formatCode>
                <c:ptCount val="5"/>
                <c:pt idx="0">
                  <c:v>0.113</c:v>
                </c:pt>
                <c:pt idx="1">
                  <c:v>0.105</c:v>
                </c:pt>
                <c:pt idx="2">
                  <c:v>0.20100000000000001</c:v>
                </c:pt>
                <c:pt idx="3">
                  <c:v>0.27</c:v>
                </c:pt>
                <c:pt idx="4">
                  <c:v>0.312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0F0-4A22-9D53-78EB002BD9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2"/>
        <c:axId val="516178856"/>
        <c:axId val="516174264"/>
      </c:barChart>
      <c:catAx>
        <c:axId val="516178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6174264"/>
        <c:crosses val="autoZero"/>
        <c:auto val="1"/>
        <c:lblAlgn val="ctr"/>
        <c:lblOffset val="100"/>
        <c:noMultiLvlLbl val="0"/>
      </c:catAx>
      <c:valAx>
        <c:axId val="516174264"/>
        <c:scaling>
          <c:orientation val="minMax"/>
          <c:max val="0.70000000000000007"/>
        </c:scaling>
        <c:delete val="0"/>
        <c:axPos val="b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516178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0.53551</cdr:x>
      <cdr:y>0.8819</cdr:y>
    </cdr:from>
    <cdr:to>
      <cdr:x>0.7043</cdr:x>
      <cdr:y>0.96315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2639778" y="1872096"/>
          <a:ext cx="832051" cy="1724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cs-CZ" sz="1000" b="1">
              <a:latin typeface="+mn-lt"/>
            </a:rPr>
            <a:t>Osamělost</a:t>
          </a:r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4299E-5AA9-4B31-A0BE-1D9B9708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982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filip.lachmann</dc:creator>
  <cp:keywords/>
  <dc:description/>
  <cp:lastModifiedBy>Růžičková Markéta</cp:lastModifiedBy>
  <cp:revision>2</cp:revision>
  <cp:lastPrinted>2020-09-24T12:50:00Z</cp:lastPrinted>
  <dcterms:created xsi:type="dcterms:W3CDTF">2020-09-25T06:01:00Z</dcterms:created>
  <dcterms:modified xsi:type="dcterms:W3CDTF">2020-09-25T06:01:00Z</dcterms:modified>
</cp:coreProperties>
</file>