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hartEx2.xml" ContentType="application/vnd.ms-office.chartex+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1B13" w14:textId="77777777" w:rsidR="00AA5151" w:rsidRPr="00AA5151" w:rsidRDefault="00AA5151" w:rsidP="00AA5151">
      <w:pPr>
        <w:spacing w:after="0" w:line="276" w:lineRule="auto"/>
        <w:jc w:val="center"/>
        <w:rPr>
          <w:rFonts w:ascii="Arial" w:hAnsi="Arial" w:cs="Arial"/>
          <w:b/>
          <w:sz w:val="28"/>
        </w:rPr>
      </w:pPr>
      <w:r w:rsidRPr="00AA5151">
        <w:rPr>
          <w:rFonts w:ascii="Arial" w:hAnsi="Arial" w:cs="Arial"/>
          <w:b/>
          <w:sz w:val="28"/>
        </w:rPr>
        <w:t>Známé n</w:t>
      </w:r>
      <w:r>
        <w:rPr>
          <w:rFonts w:ascii="Arial" w:hAnsi="Arial" w:cs="Arial"/>
          <w:b/>
          <w:sz w:val="28"/>
        </w:rPr>
        <w:t>eznámé registrované partnerství</w:t>
      </w:r>
    </w:p>
    <w:p w14:paraId="2F5873BB" w14:textId="77777777" w:rsidR="00AA5151" w:rsidRPr="00AA5151" w:rsidRDefault="00AA5151" w:rsidP="00AA5151">
      <w:pPr>
        <w:spacing w:after="0" w:line="276" w:lineRule="auto"/>
        <w:jc w:val="center"/>
        <w:rPr>
          <w:rFonts w:ascii="Arial" w:hAnsi="Arial" w:cs="Arial"/>
          <w:sz w:val="28"/>
        </w:rPr>
      </w:pPr>
      <w:r w:rsidRPr="00AA5151">
        <w:rPr>
          <w:rFonts w:ascii="Arial" w:hAnsi="Arial" w:cs="Arial"/>
          <w:sz w:val="28"/>
        </w:rPr>
        <w:t>Statistiky registrovaných partnerství v Česku po 14 letech</w:t>
      </w:r>
    </w:p>
    <w:p w14:paraId="6F5C9FE0" w14:textId="6711510E" w:rsidR="0062236B" w:rsidRPr="0062236B" w:rsidRDefault="001360AD" w:rsidP="00AA5151">
      <w:pPr>
        <w:spacing w:after="0" w:line="276" w:lineRule="auto"/>
        <w:jc w:val="both"/>
        <w:rPr>
          <w:rFonts w:ascii="Arial" w:hAnsi="Arial" w:cs="Arial"/>
          <w:b/>
          <w:i/>
        </w:rPr>
      </w:pPr>
      <w:r>
        <w:rPr>
          <w:rFonts w:ascii="Arial" w:hAnsi="Arial" w:cs="Arial"/>
          <w:b/>
        </w:rPr>
        <w:br/>
      </w:r>
      <w:r w:rsidR="00AA5151">
        <w:rPr>
          <w:rFonts w:ascii="Arial" w:hAnsi="Arial" w:cs="Arial"/>
          <w:b/>
        </w:rPr>
        <w:t>2</w:t>
      </w:r>
      <w:r w:rsidR="00AF1BB9">
        <w:rPr>
          <w:rFonts w:ascii="Arial" w:hAnsi="Arial" w:cs="Arial"/>
          <w:b/>
        </w:rPr>
        <w:t>6</w:t>
      </w:r>
      <w:r w:rsidR="0062236B" w:rsidRPr="0062236B">
        <w:rPr>
          <w:rFonts w:ascii="Arial" w:hAnsi="Arial" w:cs="Arial"/>
          <w:b/>
        </w:rPr>
        <w:t xml:space="preserve">. </w:t>
      </w:r>
      <w:r w:rsidR="00AA5151">
        <w:rPr>
          <w:rFonts w:ascii="Arial" w:hAnsi="Arial" w:cs="Arial"/>
          <w:b/>
        </w:rPr>
        <w:t>června</w:t>
      </w:r>
      <w:r w:rsidR="0062236B" w:rsidRPr="0062236B">
        <w:rPr>
          <w:rFonts w:ascii="Arial" w:hAnsi="Arial" w:cs="Arial"/>
          <w:b/>
        </w:rPr>
        <w:t xml:space="preserve"> 20</w:t>
      </w:r>
      <w:r w:rsidR="00AA5151">
        <w:rPr>
          <w:rFonts w:ascii="Arial" w:hAnsi="Arial" w:cs="Arial"/>
          <w:b/>
        </w:rPr>
        <w:t>20</w:t>
      </w:r>
      <w:r w:rsidR="0062236B" w:rsidRPr="0062236B">
        <w:rPr>
          <w:rFonts w:ascii="Arial" w:hAnsi="Arial" w:cs="Arial"/>
          <w:b/>
        </w:rPr>
        <w:t xml:space="preserve">, Praha | </w:t>
      </w:r>
      <w:r w:rsidR="009E4A1C">
        <w:rPr>
          <w:rFonts w:ascii="Arial" w:hAnsi="Arial" w:cs="Arial"/>
          <w:b/>
        </w:rPr>
        <w:t xml:space="preserve">aktualizováno 7. července 2020 | </w:t>
      </w:r>
      <w:r w:rsidR="00AA5151" w:rsidRPr="00AA5151">
        <w:rPr>
          <w:rFonts w:ascii="Arial" w:hAnsi="Arial" w:cs="Arial"/>
          <w:i/>
        </w:rPr>
        <w:t xml:space="preserve">Již 14 let (od 1. července 2006) mohou vstupovat páry stejného pohlaví do státem uznávaného partnerství. Zatímco statistická data o české populaci včetně manželství, nesezdaných soužitích, věku partnerů nebo jejich dětech pravidelně zveřejňuje Český statistický úřad, data o registrovaných partnerstvích </w:t>
      </w:r>
      <w:r w:rsidR="00706E85">
        <w:rPr>
          <w:rFonts w:ascii="Arial" w:hAnsi="Arial" w:cs="Arial"/>
          <w:i/>
        </w:rPr>
        <w:t xml:space="preserve">jsou zpravidla </w:t>
      </w:r>
      <w:r w:rsidR="00AA5151" w:rsidRPr="00AA5151">
        <w:rPr>
          <w:rFonts w:ascii="Arial" w:hAnsi="Arial" w:cs="Arial"/>
          <w:i/>
        </w:rPr>
        <w:t>přehlíž</w:t>
      </w:r>
      <w:r w:rsidR="00706E85">
        <w:rPr>
          <w:rFonts w:ascii="Arial" w:hAnsi="Arial" w:cs="Arial"/>
          <w:i/>
        </w:rPr>
        <w:t>ena</w:t>
      </w:r>
      <w:r w:rsidR="00AA5151" w:rsidRPr="00AA5151">
        <w:rPr>
          <w:rFonts w:ascii="Arial" w:hAnsi="Arial" w:cs="Arial"/>
          <w:i/>
        </w:rPr>
        <w:t xml:space="preserve">. Exkluzivně jsme </w:t>
      </w:r>
      <w:r w:rsidR="00706E85">
        <w:rPr>
          <w:rFonts w:ascii="Arial" w:hAnsi="Arial" w:cs="Arial"/>
          <w:i/>
        </w:rPr>
        <w:t xml:space="preserve">však </w:t>
      </w:r>
      <w:r w:rsidR="00AA5151" w:rsidRPr="00AA5151">
        <w:rPr>
          <w:rFonts w:ascii="Arial" w:hAnsi="Arial" w:cs="Arial"/>
          <w:i/>
        </w:rPr>
        <w:t>získali data z</w:t>
      </w:r>
      <w:r w:rsidR="00706E85">
        <w:rPr>
          <w:rFonts w:ascii="Arial" w:hAnsi="Arial" w:cs="Arial"/>
          <w:i/>
        </w:rPr>
        <w:t> </w:t>
      </w:r>
      <w:r w:rsidR="00AA5151" w:rsidRPr="00AA5151">
        <w:rPr>
          <w:rFonts w:ascii="Arial" w:hAnsi="Arial" w:cs="Arial"/>
          <w:i/>
        </w:rPr>
        <w:t>registrů Ministerstva vnitra</w:t>
      </w:r>
      <w:r w:rsidR="00706E85">
        <w:rPr>
          <w:rFonts w:ascii="Arial" w:hAnsi="Arial" w:cs="Arial"/>
          <w:i/>
        </w:rPr>
        <w:t xml:space="preserve"> a po </w:t>
      </w:r>
      <w:r w:rsidR="00AA5151" w:rsidRPr="00AA5151">
        <w:rPr>
          <w:rFonts w:ascii="Arial" w:hAnsi="Arial" w:cs="Arial"/>
          <w:i/>
        </w:rPr>
        <w:t>14 letech</w:t>
      </w:r>
      <w:r w:rsidR="00706E85">
        <w:rPr>
          <w:rFonts w:ascii="Arial" w:hAnsi="Arial" w:cs="Arial"/>
          <w:i/>
        </w:rPr>
        <w:t xml:space="preserve"> tak můžeme </w:t>
      </w:r>
      <w:r w:rsidR="00AA5151" w:rsidRPr="00AA5151">
        <w:rPr>
          <w:rFonts w:ascii="Arial" w:hAnsi="Arial" w:cs="Arial"/>
          <w:i/>
        </w:rPr>
        <w:t>přin</w:t>
      </w:r>
      <w:r w:rsidR="00706E85">
        <w:rPr>
          <w:rFonts w:ascii="Arial" w:hAnsi="Arial" w:cs="Arial"/>
          <w:i/>
        </w:rPr>
        <w:t>ést</w:t>
      </w:r>
      <w:r w:rsidR="00AA5151" w:rsidRPr="00AA5151">
        <w:rPr>
          <w:rFonts w:ascii="Arial" w:hAnsi="Arial" w:cs="Arial"/>
          <w:i/>
        </w:rPr>
        <w:t xml:space="preserve"> podrobnější obrázek.</w:t>
      </w:r>
    </w:p>
    <w:p w14:paraId="4F6E5780" w14:textId="77777777" w:rsidR="0062236B" w:rsidRPr="0062236B" w:rsidRDefault="0062236B" w:rsidP="00AA5151">
      <w:pPr>
        <w:spacing w:line="276" w:lineRule="auto"/>
        <w:jc w:val="both"/>
        <w:rPr>
          <w:rFonts w:ascii="Arial" w:hAnsi="Arial" w:cs="Arial"/>
          <w:b/>
        </w:rPr>
      </w:pPr>
    </w:p>
    <w:p w14:paraId="571F9E8B" w14:textId="77777777" w:rsidR="00AA5151" w:rsidRPr="00AA5151" w:rsidRDefault="00706E85" w:rsidP="00AA5151">
      <w:pPr>
        <w:spacing w:line="276" w:lineRule="auto"/>
        <w:jc w:val="both"/>
        <w:rPr>
          <w:rFonts w:ascii="Arial" w:hAnsi="Arial" w:cs="Arial"/>
        </w:rPr>
      </w:pPr>
      <w:r>
        <w:rPr>
          <w:rFonts w:ascii="Arial" w:hAnsi="Arial" w:cs="Arial"/>
        </w:rPr>
        <w:t>Přestože jsou sbírány ú</w:t>
      </w:r>
      <w:r w:rsidR="00AA5151" w:rsidRPr="00AA5151">
        <w:rPr>
          <w:rFonts w:ascii="Arial" w:hAnsi="Arial" w:cs="Arial"/>
        </w:rPr>
        <w:t xml:space="preserve">daje o registrovaných partnerstvích (dále </w:t>
      </w:r>
      <w:r>
        <w:rPr>
          <w:rFonts w:ascii="Arial" w:hAnsi="Arial" w:cs="Arial"/>
        </w:rPr>
        <w:t>jen R</w:t>
      </w:r>
      <w:r w:rsidR="00AA5151" w:rsidRPr="00AA5151">
        <w:rPr>
          <w:rFonts w:ascii="Arial" w:hAnsi="Arial" w:cs="Arial"/>
        </w:rPr>
        <w:t>P</w:t>
      </w:r>
      <w:r>
        <w:rPr>
          <w:rFonts w:ascii="Arial" w:hAnsi="Arial" w:cs="Arial"/>
        </w:rPr>
        <w:t xml:space="preserve">), nejsou vedeny jako statistická data (ačkoliv má </w:t>
      </w:r>
      <w:r w:rsidR="00AA5151" w:rsidRPr="00AA5151">
        <w:rPr>
          <w:rFonts w:ascii="Arial" w:hAnsi="Arial" w:cs="Arial"/>
        </w:rPr>
        <w:t xml:space="preserve">ČSÚ </w:t>
      </w:r>
      <w:r>
        <w:rPr>
          <w:rFonts w:ascii="Arial" w:hAnsi="Arial" w:cs="Arial"/>
        </w:rPr>
        <w:t xml:space="preserve">k těmto datům přístup, </w:t>
      </w:r>
      <w:r w:rsidR="00AA5151" w:rsidRPr="00AA5151">
        <w:rPr>
          <w:rFonts w:ascii="Arial" w:hAnsi="Arial" w:cs="Arial"/>
        </w:rPr>
        <w:t>nemá z</w:t>
      </w:r>
      <w:r>
        <w:rPr>
          <w:rFonts w:ascii="Arial" w:hAnsi="Arial" w:cs="Arial"/>
        </w:rPr>
        <w:t>ákonnou p</w:t>
      </w:r>
      <w:r w:rsidR="00AA5151" w:rsidRPr="00AA5151">
        <w:rPr>
          <w:rFonts w:ascii="Arial" w:hAnsi="Arial" w:cs="Arial"/>
        </w:rPr>
        <w:t xml:space="preserve">ovinnost </w:t>
      </w:r>
      <w:r>
        <w:rPr>
          <w:rFonts w:ascii="Arial" w:hAnsi="Arial" w:cs="Arial"/>
        </w:rPr>
        <w:t xml:space="preserve">je </w:t>
      </w:r>
      <w:r w:rsidR="00AA5151" w:rsidRPr="00AA5151">
        <w:rPr>
          <w:rFonts w:ascii="Arial" w:hAnsi="Arial" w:cs="Arial"/>
        </w:rPr>
        <w:t>zpracovávat</w:t>
      </w:r>
      <w:r>
        <w:rPr>
          <w:rFonts w:ascii="Arial" w:hAnsi="Arial" w:cs="Arial"/>
        </w:rPr>
        <w:t>)</w:t>
      </w:r>
      <w:r w:rsidR="00AA5151" w:rsidRPr="00AA5151">
        <w:rPr>
          <w:rFonts w:ascii="Arial" w:hAnsi="Arial" w:cs="Arial"/>
        </w:rPr>
        <w:t xml:space="preserve">. </w:t>
      </w:r>
      <w:r>
        <w:rPr>
          <w:rFonts w:ascii="Arial" w:hAnsi="Arial" w:cs="Arial"/>
        </w:rPr>
        <w:t>D</w:t>
      </w:r>
      <w:r w:rsidR="00AA5151" w:rsidRPr="00AA5151">
        <w:rPr>
          <w:rFonts w:ascii="Arial" w:hAnsi="Arial" w:cs="Arial"/>
        </w:rPr>
        <w:t xml:space="preserve">ílčí údaje o RP </w:t>
      </w:r>
      <w:r>
        <w:rPr>
          <w:rFonts w:ascii="Arial" w:hAnsi="Arial" w:cs="Arial"/>
        </w:rPr>
        <w:t xml:space="preserve">z </w:t>
      </w:r>
      <w:r w:rsidR="00AA5151" w:rsidRPr="00AA5151">
        <w:rPr>
          <w:rFonts w:ascii="Arial" w:hAnsi="Arial" w:cs="Arial"/>
        </w:rPr>
        <w:t xml:space="preserve">posledních 14 let </w:t>
      </w:r>
      <w:r>
        <w:rPr>
          <w:rFonts w:ascii="Arial" w:hAnsi="Arial" w:cs="Arial"/>
        </w:rPr>
        <w:t xml:space="preserve">tak </w:t>
      </w:r>
      <w:r w:rsidR="00AA5151" w:rsidRPr="00AA5151">
        <w:rPr>
          <w:rFonts w:ascii="Arial" w:hAnsi="Arial" w:cs="Arial"/>
        </w:rPr>
        <w:t>každoročně známe jen díky individuální aktivitě dvou soukromých osob, které jednou za půl roku obtelefonují čtrnáct matrik, kde lze do RP vstoupit.</w:t>
      </w:r>
    </w:p>
    <w:p w14:paraId="73121A8D" w14:textId="77777777" w:rsidR="00AA5151" w:rsidRPr="00AA5151" w:rsidRDefault="00AA5151" w:rsidP="00A147C7">
      <w:pPr>
        <w:spacing w:line="276" w:lineRule="auto"/>
        <w:ind w:firstLine="708"/>
        <w:jc w:val="both"/>
        <w:rPr>
          <w:rFonts w:ascii="Arial" w:hAnsi="Arial" w:cs="Arial"/>
        </w:rPr>
      </w:pPr>
      <w:r w:rsidRPr="00AA5151">
        <w:rPr>
          <w:rFonts w:ascii="Arial" w:hAnsi="Arial" w:cs="Arial"/>
        </w:rPr>
        <w:t xml:space="preserve">Níže představujeme unikátní data, která </w:t>
      </w:r>
      <w:r w:rsidR="00706E85">
        <w:rPr>
          <w:rFonts w:ascii="Arial" w:hAnsi="Arial" w:cs="Arial"/>
        </w:rPr>
        <w:t xml:space="preserve">byla poskytnuta </w:t>
      </w:r>
      <w:r w:rsidRPr="00AA5151">
        <w:rPr>
          <w:rFonts w:ascii="Arial" w:hAnsi="Arial" w:cs="Arial"/>
        </w:rPr>
        <w:t>Ministerstv</w:t>
      </w:r>
      <w:r w:rsidR="00706E85">
        <w:rPr>
          <w:rFonts w:ascii="Arial" w:hAnsi="Arial" w:cs="Arial"/>
        </w:rPr>
        <w:t>em</w:t>
      </w:r>
      <w:r w:rsidRPr="00AA5151">
        <w:rPr>
          <w:rFonts w:ascii="Arial" w:hAnsi="Arial" w:cs="Arial"/>
        </w:rPr>
        <w:t xml:space="preserve"> vnitra. </w:t>
      </w:r>
      <w:r w:rsidR="00706E85">
        <w:rPr>
          <w:rFonts w:ascii="Arial" w:hAnsi="Arial" w:cs="Arial"/>
        </w:rPr>
        <w:t xml:space="preserve">Z důvodu nepřipravenosti databází pro statistické výstupy se však jedná o </w:t>
      </w:r>
      <w:r w:rsidRPr="00AA5151">
        <w:rPr>
          <w:rFonts w:ascii="Arial" w:hAnsi="Arial" w:cs="Arial"/>
        </w:rPr>
        <w:t xml:space="preserve">dílčí </w:t>
      </w:r>
      <w:r w:rsidR="00706E85">
        <w:rPr>
          <w:rFonts w:ascii="Arial" w:hAnsi="Arial" w:cs="Arial"/>
        </w:rPr>
        <w:t xml:space="preserve">data, </w:t>
      </w:r>
      <w:r w:rsidRPr="00AA5151">
        <w:rPr>
          <w:rFonts w:ascii="Arial" w:hAnsi="Arial" w:cs="Arial"/>
        </w:rPr>
        <w:t xml:space="preserve">například o </w:t>
      </w:r>
      <w:r w:rsidR="00706E85">
        <w:rPr>
          <w:rFonts w:ascii="Arial" w:hAnsi="Arial" w:cs="Arial"/>
        </w:rPr>
        <w:t xml:space="preserve">dnes </w:t>
      </w:r>
      <w:r w:rsidRPr="00AA5151">
        <w:rPr>
          <w:rFonts w:ascii="Arial" w:hAnsi="Arial" w:cs="Arial"/>
        </w:rPr>
        <w:t>již zaniklých partnerstvích se toho mnoho zpětně nedozvíme. Přesto nám údaje poskytují nový pohled na tento institut, který je sice analogií manželství, ale liší se od něj zásadním způsobem jak právně, tak společensky.</w:t>
      </w:r>
      <w:r w:rsidRPr="00AA5151">
        <w:rPr>
          <w:rFonts w:ascii="Arial" w:hAnsi="Arial" w:cs="Arial"/>
          <w:vertAlign w:val="superscript"/>
        </w:rPr>
        <w:footnoteReference w:id="1"/>
      </w:r>
    </w:p>
    <w:p w14:paraId="18918E2F" w14:textId="77777777" w:rsidR="00AA5151" w:rsidRDefault="00AA5151" w:rsidP="00AA5151">
      <w:pPr>
        <w:pStyle w:val="Nadpis2"/>
        <w:jc w:val="both"/>
        <w:rPr>
          <w:rFonts w:ascii="Arial" w:hAnsi="Arial" w:cs="Arial"/>
          <w:sz w:val="24"/>
        </w:rPr>
      </w:pPr>
      <w:r w:rsidRPr="00AA5151">
        <w:rPr>
          <w:rFonts w:ascii="Arial" w:hAnsi="Arial" w:cs="Arial"/>
          <w:sz w:val="24"/>
        </w:rPr>
        <w:t>Uzavřená, zrušená a trvající partnerství</w:t>
      </w:r>
    </w:p>
    <w:p w14:paraId="23085766" w14:textId="77777777" w:rsidR="00C65FDF" w:rsidRPr="00C65FDF" w:rsidRDefault="00C65FDF" w:rsidP="00C65FDF">
      <w:pPr>
        <w:rPr>
          <w:lang w:eastAsia="cs-CZ"/>
        </w:rPr>
      </w:pPr>
    </w:p>
    <w:p w14:paraId="120DB1FC" w14:textId="77777777" w:rsidR="00AA5151" w:rsidRPr="00AA5151" w:rsidRDefault="00AA5151" w:rsidP="00AA5151">
      <w:pPr>
        <w:spacing w:line="276" w:lineRule="auto"/>
        <w:jc w:val="both"/>
        <w:rPr>
          <w:rFonts w:ascii="Arial" w:hAnsi="Arial" w:cs="Arial"/>
        </w:rPr>
      </w:pPr>
      <w:r w:rsidRPr="00AA5151">
        <w:rPr>
          <w:rFonts w:ascii="Arial" w:hAnsi="Arial" w:cs="Arial"/>
        </w:rPr>
        <w:t>Po úvodním nadšení, kdy první dva roky po uzákonění RP vstupovalo do tohoto nového institutu přes 250 párů</w:t>
      </w:r>
      <w:r w:rsidR="00C65FDF">
        <w:rPr>
          <w:rFonts w:ascii="Arial" w:hAnsi="Arial" w:cs="Arial"/>
        </w:rPr>
        <w:t>,</w:t>
      </w:r>
      <w:r w:rsidRPr="00AA5151">
        <w:rPr>
          <w:rFonts w:ascii="Arial" w:hAnsi="Arial" w:cs="Arial"/>
        </w:rPr>
        <w:t xml:space="preserve"> zájem následující čtyři roky klesal. Od roku 2011 začal mírně stoupat</w:t>
      </w:r>
      <w:r w:rsidR="00A147C7">
        <w:rPr>
          <w:rFonts w:ascii="Arial" w:hAnsi="Arial" w:cs="Arial"/>
        </w:rPr>
        <w:t xml:space="preserve"> a</w:t>
      </w:r>
      <w:r w:rsidRPr="00AA5151">
        <w:rPr>
          <w:rFonts w:ascii="Arial" w:hAnsi="Arial" w:cs="Arial"/>
        </w:rPr>
        <w:t xml:space="preserve"> </w:t>
      </w:r>
      <w:r w:rsidR="00A147C7">
        <w:rPr>
          <w:rFonts w:ascii="Arial" w:hAnsi="Arial" w:cs="Arial"/>
        </w:rPr>
        <w:t xml:space="preserve">mezi roky </w:t>
      </w:r>
      <w:r w:rsidRPr="00AA5151">
        <w:rPr>
          <w:rFonts w:ascii="Arial" w:hAnsi="Arial" w:cs="Arial"/>
        </w:rPr>
        <w:t xml:space="preserve">2015 (kdy se počet nově uzavřených partnerství opět přehoupl přes úvodní stavy) </w:t>
      </w:r>
      <w:r w:rsidR="00A147C7">
        <w:rPr>
          <w:rFonts w:ascii="Arial" w:hAnsi="Arial" w:cs="Arial"/>
        </w:rPr>
        <w:t>a</w:t>
      </w:r>
      <w:r w:rsidRPr="00AA5151">
        <w:rPr>
          <w:rFonts w:ascii="Arial" w:hAnsi="Arial" w:cs="Arial"/>
        </w:rPr>
        <w:t xml:space="preserve"> 2016 skokově narostl </w:t>
      </w:r>
      <w:r w:rsidR="00706E85">
        <w:rPr>
          <w:rFonts w:ascii="Arial" w:hAnsi="Arial" w:cs="Arial"/>
        </w:rPr>
        <w:t>na</w:t>
      </w:r>
      <w:r w:rsidRPr="00AA5151">
        <w:rPr>
          <w:rFonts w:ascii="Arial" w:hAnsi="Arial" w:cs="Arial"/>
        </w:rPr>
        <w:t xml:space="preserve"> historické maxim</w:t>
      </w:r>
      <w:r w:rsidR="00706E85">
        <w:rPr>
          <w:rFonts w:ascii="Arial" w:hAnsi="Arial" w:cs="Arial"/>
        </w:rPr>
        <w:t>um</w:t>
      </w:r>
      <w:r w:rsidRPr="00AA5151">
        <w:rPr>
          <w:rFonts w:ascii="Arial" w:hAnsi="Arial" w:cs="Arial"/>
        </w:rPr>
        <w:t xml:space="preserve"> 348 nových partnerství uzavřených v jednom roce. Rok 2019 byl doposud druhý</w:t>
      </w:r>
      <w:r w:rsidR="00A147C7">
        <w:rPr>
          <w:rFonts w:ascii="Arial" w:hAnsi="Arial" w:cs="Arial"/>
        </w:rPr>
        <w:t>m</w:t>
      </w:r>
      <w:r w:rsidRPr="00AA5151">
        <w:rPr>
          <w:rFonts w:ascii="Arial" w:hAnsi="Arial" w:cs="Arial"/>
        </w:rPr>
        <w:t xml:space="preserve"> „nejúspěšnější</w:t>
      </w:r>
      <w:r w:rsidR="00A147C7">
        <w:rPr>
          <w:rFonts w:ascii="Arial" w:hAnsi="Arial" w:cs="Arial"/>
        </w:rPr>
        <w:t>m</w:t>
      </w:r>
      <w:r w:rsidRPr="00AA5151">
        <w:rPr>
          <w:rFonts w:ascii="Arial" w:hAnsi="Arial" w:cs="Arial"/>
        </w:rPr>
        <w:t xml:space="preserve">“, </w:t>
      </w:r>
      <w:r w:rsidR="00A147C7">
        <w:rPr>
          <w:rFonts w:ascii="Arial" w:hAnsi="Arial" w:cs="Arial"/>
        </w:rPr>
        <w:t>do RP</w:t>
      </w:r>
      <w:r w:rsidRPr="00AA5151">
        <w:rPr>
          <w:rFonts w:ascii="Arial" w:hAnsi="Arial" w:cs="Arial"/>
        </w:rPr>
        <w:t xml:space="preserve"> </w:t>
      </w:r>
      <w:r w:rsidR="00A147C7">
        <w:rPr>
          <w:rFonts w:ascii="Arial" w:hAnsi="Arial" w:cs="Arial"/>
        </w:rPr>
        <w:t xml:space="preserve">v něm </w:t>
      </w:r>
      <w:r w:rsidRPr="00AA5151">
        <w:rPr>
          <w:rFonts w:ascii="Arial" w:hAnsi="Arial" w:cs="Arial"/>
        </w:rPr>
        <w:t>vstoupilo jen o tři páry méně.</w:t>
      </w:r>
    </w:p>
    <w:p w14:paraId="3271C06D" w14:textId="77777777" w:rsidR="00AA5151" w:rsidRDefault="00AA5151" w:rsidP="00A147C7">
      <w:pPr>
        <w:spacing w:line="276" w:lineRule="auto"/>
        <w:ind w:firstLine="708"/>
        <w:jc w:val="both"/>
        <w:rPr>
          <w:rFonts w:ascii="Arial" w:hAnsi="Arial" w:cs="Arial"/>
        </w:rPr>
      </w:pPr>
      <w:r w:rsidRPr="00AA5151">
        <w:rPr>
          <w:rFonts w:ascii="Arial" w:hAnsi="Arial" w:cs="Arial"/>
        </w:rPr>
        <w:t>Od poloviny roku 2006 do konce roku 2019 vstoupilo v Česku do registrovaného partnerství</w:t>
      </w:r>
      <w:r w:rsidR="00706E85">
        <w:rPr>
          <w:rFonts w:ascii="Arial" w:hAnsi="Arial" w:cs="Arial"/>
        </w:rPr>
        <w:t xml:space="preserve"> celkem</w:t>
      </w:r>
      <w:r w:rsidRPr="00AA5151">
        <w:rPr>
          <w:rFonts w:ascii="Arial" w:hAnsi="Arial" w:cs="Arial"/>
        </w:rPr>
        <w:t xml:space="preserve"> 3625 párů. Během ledna až dubna 2020 to bylo dalších 49 párů (29 mužských a</w:t>
      </w:r>
      <w:r w:rsidR="005967E5">
        <w:rPr>
          <w:rFonts w:ascii="Arial" w:hAnsi="Arial" w:cs="Arial"/>
        </w:rPr>
        <w:t> </w:t>
      </w:r>
      <w:r w:rsidRPr="00AA5151">
        <w:rPr>
          <w:rFonts w:ascii="Arial" w:hAnsi="Arial" w:cs="Arial"/>
        </w:rPr>
        <w:t>20</w:t>
      </w:r>
      <w:r>
        <w:rPr>
          <w:rFonts w:ascii="Arial" w:hAnsi="Arial" w:cs="Arial"/>
        </w:rPr>
        <w:t> </w:t>
      </w:r>
      <w:r w:rsidRPr="00AA5151">
        <w:rPr>
          <w:rFonts w:ascii="Arial" w:hAnsi="Arial" w:cs="Arial"/>
        </w:rPr>
        <w:t xml:space="preserve">ženských). Ovšem pouze 2710 jich (k 1. 1. 2020) stále existovalo, jelikož 915 partnerství se za dobu od </w:t>
      </w:r>
      <w:r w:rsidR="00A147C7">
        <w:rPr>
          <w:rFonts w:ascii="Arial" w:hAnsi="Arial" w:cs="Arial"/>
        </w:rPr>
        <w:t xml:space="preserve">roku </w:t>
      </w:r>
      <w:r w:rsidRPr="00AA5151">
        <w:rPr>
          <w:rFonts w:ascii="Arial" w:hAnsi="Arial" w:cs="Arial"/>
        </w:rPr>
        <w:t xml:space="preserve">2006 do konce </w:t>
      </w:r>
      <w:r w:rsidR="00A147C7">
        <w:rPr>
          <w:rFonts w:ascii="Arial" w:hAnsi="Arial" w:cs="Arial"/>
        </w:rPr>
        <w:t xml:space="preserve">roku </w:t>
      </w:r>
      <w:r w:rsidRPr="00AA5151">
        <w:rPr>
          <w:rFonts w:ascii="Arial" w:hAnsi="Arial" w:cs="Arial"/>
        </w:rPr>
        <w:t xml:space="preserve">2019 rozešlo, resp. bylo zrušeno. </w:t>
      </w:r>
      <w:r w:rsidR="00706E85">
        <w:rPr>
          <w:rFonts w:ascii="Arial" w:hAnsi="Arial" w:cs="Arial"/>
        </w:rPr>
        <w:t>Z </w:t>
      </w:r>
      <w:r w:rsidRPr="00AA5151">
        <w:rPr>
          <w:rFonts w:ascii="Arial" w:hAnsi="Arial" w:cs="Arial"/>
        </w:rPr>
        <w:t>dat</w:t>
      </w:r>
      <w:r w:rsidR="00706E85">
        <w:rPr>
          <w:rFonts w:ascii="Arial" w:hAnsi="Arial" w:cs="Arial"/>
        </w:rPr>
        <w:t xml:space="preserve"> ovšem</w:t>
      </w:r>
      <w:r w:rsidRPr="00AA5151">
        <w:rPr>
          <w:rFonts w:ascii="Arial" w:hAnsi="Arial" w:cs="Arial"/>
        </w:rPr>
        <w:t xml:space="preserve"> ne</w:t>
      </w:r>
      <w:r w:rsidR="00706E85">
        <w:rPr>
          <w:rFonts w:ascii="Arial" w:hAnsi="Arial" w:cs="Arial"/>
        </w:rPr>
        <w:t>zjistíme</w:t>
      </w:r>
      <w:r w:rsidRPr="00AA5151">
        <w:rPr>
          <w:rFonts w:ascii="Arial" w:hAnsi="Arial" w:cs="Arial"/>
        </w:rPr>
        <w:t xml:space="preserve">, </w:t>
      </w:r>
      <w:r w:rsidR="00706E85">
        <w:rPr>
          <w:rFonts w:ascii="Arial" w:hAnsi="Arial" w:cs="Arial"/>
        </w:rPr>
        <w:t>zda</w:t>
      </w:r>
      <w:r w:rsidRPr="00AA5151">
        <w:rPr>
          <w:rFonts w:ascii="Arial" w:hAnsi="Arial" w:cs="Arial"/>
        </w:rPr>
        <w:t xml:space="preserve"> byla partnerství zrušena z důvodu úmrtí nebo z rozhodnutí partnerů či</w:t>
      </w:r>
      <w:r w:rsidR="005967E5">
        <w:rPr>
          <w:rFonts w:ascii="Arial" w:hAnsi="Arial" w:cs="Arial"/>
        </w:rPr>
        <w:t> </w:t>
      </w:r>
      <w:r w:rsidRPr="00AA5151">
        <w:rPr>
          <w:rFonts w:ascii="Arial" w:hAnsi="Arial" w:cs="Arial"/>
        </w:rPr>
        <w:t>partnerek. Zhruba 300 osob v existujících RP j</w:t>
      </w:r>
      <w:r w:rsidR="004B6CA4">
        <w:rPr>
          <w:rFonts w:ascii="Arial" w:hAnsi="Arial" w:cs="Arial"/>
        </w:rPr>
        <w:t>sou</w:t>
      </w:r>
      <w:r w:rsidRPr="00AA5151">
        <w:rPr>
          <w:rFonts w:ascii="Arial" w:hAnsi="Arial" w:cs="Arial"/>
        </w:rPr>
        <w:t xml:space="preserve"> cizinc</w:t>
      </w:r>
      <w:r w:rsidR="004B6CA4">
        <w:rPr>
          <w:rFonts w:ascii="Arial" w:hAnsi="Arial" w:cs="Arial"/>
        </w:rPr>
        <w:t xml:space="preserve">i, z nichž polovinu </w:t>
      </w:r>
      <w:r w:rsidRPr="00AA5151">
        <w:rPr>
          <w:rFonts w:ascii="Arial" w:hAnsi="Arial" w:cs="Arial"/>
        </w:rPr>
        <w:t>tvoří Slováci a Slovenky).</w:t>
      </w:r>
    </w:p>
    <w:p w14:paraId="50EFF20F" w14:textId="77777777" w:rsidR="0016133D" w:rsidRPr="00AA5151" w:rsidRDefault="0016133D" w:rsidP="00A147C7">
      <w:pPr>
        <w:spacing w:line="276" w:lineRule="auto"/>
        <w:ind w:firstLine="708"/>
        <w:jc w:val="both"/>
        <w:rPr>
          <w:rFonts w:ascii="Arial" w:hAnsi="Arial" w:cs="Arial"/>
        </w:rPr>
      </w:pPr>
    </w:p>
    <w:p w14:paraId="202608D6" w14:textId="77777777" w:rsidR="00AA5151" w:rsidRPr="00AA5151" w:rsidRDefault="00AA5151" w:rsidP="00AA5151">
      <w:pPr>
        <w:spacing w:line="276" w:lineRule="auto"/>
        <w:jc w:val="both"/>
        <w:rPr>
          <w:rFonts w:ascii="Arial" w:hAnsi="Arial" w:cs="Arial"/>
        </w:rPr>
      </w:pPr>
      <w:r w:rsidRPr="00AA5151">
        <w:rPr>
          <w:rFonts w:ascii="Arial" w:hAnsi="Arial" w:cs="Arial"/>
        </w:rPr>
        <w:tab/>
        <w:t xml:space="preserve"> </w:t>
      </w:r>
    </w:p>
    <w:p w14:paraId="6E2DB5FB" w14:textId="77777777" w:rsidR="00AA5151" w:rsidRPr="00AA5151" w:rsidRDefault="00AA5151" w:rsidP="00AA5151">
      <w:pPr>
        <w:spacing w:line="276" w:lineRule="auto"/>
        <w:jc w:val="both"/>
        <w:rPr>
          <w:rFonts w:ascii="Arial" w:hAnsi="Arial" w:cs="Arial"/>
        </w:rPr>
      </w:pPr>
      <w:r w:rsidRPr="007F3524">
        <w:rPr>
          <w:rFonts w:ascii="Arial" w:hAnsi="Arial" w:cs="Arial"/>
          <w:b/>
        </w:rPr>
        <w:lastRenderedPageBreak/>
        <w:t>Graf 1.</w:t>
      </w:r>
      <w:r w:rsidRPr="00AA5151">
        <w:rPr>
          <w:rFonts w:ascii="Arial" w:hAnsi="Arial" w:cs="Arial"/>
        </w:rPr>
        <w:t xml:space="preserve"> Počty vzniklých a zaniklých RP v jednotlivých letech</w:t>
      </w:r>
    </w:p>
    <w:p w14:paraId="6AAB5FE2" w14:textId="77777777" w:rsidR="00AA5151" w:rsidRPr="00AA5151" w:rsidRDefault="00AA5151" w:rsidP="00AA5151">
      <w:pPr>
        <w:spacing w:line="276" w:lineRule="auto"/>
        <w:jc w:val="both"/>
        <w:rPr>
          <w:rFonts w:ascii="Arial" w:hAnsi="Arial" w:cs="Arial"/>
        </w:rPr>
      </w:pPr>
      <w:r>
        <w:rPr>
          <w:noProof/>
          <w:lang w:eastAsia="cs-CZ"/>
        </w:rPr>
        <w:drawing>
          <wp:inline distT="0" distB="0" distL="0" distR="0" wp14:anchorId="17081BFB" wp14:editId="2D263C0F">
            <wp:extent cx="6029325" cy="2667000"/>
            <wp:effectExtent l="0" t="0" r="0" b="0"/>
            <wp:docPr id="9" name="Graf 9">
              <a:extLst xmlns:a="http://schemas.openxmlformats.org/drawingml/2006/main">
                <a:ext uri="{FF2B5EF4-FFF2-40B4-BE49-F238E27FC236}">
                  <a16:creationId xmlns:a16="http://schemas.microsoft.com/office/drawing/2014/main" id="{BF16F9F7-E5E2-4FFD-AE8E-DCECFD1D5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A5151">
        <w:rPr>
          <w:rFonts w:ascii="Arial" w:hAnsi="Arial" w:cs="Arial"/>
          <w:i/>
          <w:sz w:val="20"/>
          <w:szCs w:val="20"/>
        </w:rPr>
        <w:t>zdroj: MV ČR</w:t>
      </w:r>
    </w:p>
    <w:p w14:paraId="4B8A4B20" w14:textId="77777777" w:rsidR="00A147C7" w:rsidRDefault="00AA5151" w:rsidP="00AA5151">
      <w:pPr>
        <w:spacing w:line="276" w:lineRule="auto"/>
        <w:jc w:val="both"/>
        <w:rPr>
          <w:rFonts w:ascii="Arial" w:hAnsi="Arial" w:cs="Arial"/>
        </w:rPr>
      </w:pPr>
      <w:r w:rsidRPr="00AA5151">
        <w:rPr>
          <w:rFonts w:ascii="Arial" w:hAnsi="Arial" w:cs="Arial"/>
        </w:rPr>
        <w:t xml:space="preserve"> </w:t>
      </w:r>
      <w:r w:rsidRPr="00AA5151">
        <w:rPr>
          <w:rFonts w:ascii="Arial" w:hAnsi="Arial" w:cs="Arial"/>
        </w:rPr>
        <w:tab/>
      </w:r>
      <w:r w:rsidR="00A147C7" w:rsidRPr="00AA5151">
        <w:rPr>
          <w:rFonts w:ascii="Arial" w:hAnsi="Arial" w:cs="Arial"/>
        </w:rPr>
        <w:t>Úmrtí partnera má v současné právní úpravě závažný nedostatek v tom, že partner(</w:t>
      </w:r>
      <w:proofErr w:type="spellStart"/>
      <w:r w:rsidR="00A147C7" w:rsidRPr="00AA5151">
        <w:rPr>
          <w:rFonts w:ascii="Arial" w:hAnsi="Arial" w:cs="Arial"/>
        </w:rPr>
        <w:t>ka</w:t>
      </w:r>
      <w:proofErr w:type="spellEnd"/>
      <w:r w:rsidR="00A147C7" w:rsidRPr="00AA5151">
        <w:rPr>
          <w:rFonts w:ascii="Arial" w:hAnsi="Arial" w:cs="Arial"/>
        </w:rPr>
        <w:t>) zemřelé(ho) nemá nárok na vdovský či vdovecký důchod, v případě úmrtí partnera/partnerky pracující(ho) v ozbrojených složkách, nemá nárok na výsluhy, které jsou samozřejmé pro manžela či manželku. Jak úmrtí, tak i „rozvod“ RP může způsobit právní, ekonomické, psychologické i</w:t>
      </w:r>
      <w:r w:rsidR="00A147C7">
        <w:rPr>
          <w:rFonts w:ascii="Arial" w:hAnsi="Arial" w:cs="Arial"/>
        </w:rPr>
        <w:t> </w:t>
      </w:r>
      <w:r w:rsidR="00A147C7" w:rsidRPr="00AA5151">
        <w:rPr>
          <w:rFonts w:ascii="Arial" w:hAnsi="Arial" w:cs="Arial"/>
        </w:rPr>
        <w:t>společenské problémy obzvláště v případě, že jsou ve vztahu přítomny nezletilé děti (více</w:t>
      </w:r>
      <w:r w:rsidR="00A147C7">
        <w:rPr>
          <w:rFonts w:ascii="Arial" w:hAnsi="Arial" w:cs="Arial"/>
        </w:rPr>
        <w:t xml:space="preserve"> v poslední části této tiskové zprávy</w:t>
      </w:r>
      <w:r w:rsidR="00A147C7" w:rsidRPr="00AA5151">
        <w:rPr>
          <w:rFonts w:ascii="Arial" w:hAnsi="Arial" w:cs="Arial"/>
        </w:rPr>
        <w:t>).</w:t>
      </w:r>
    </w:p>
    <w:p w14:paraId="1370E54B" w14:textId="77777777" w:rsidR="00AA5151" w:rsidRPr="00AA5151" w:rsidRDefault="00AA5151" w:rsidP="00A147C7">
      <w:pPr>
        <w:spacing w:line="276" w:lineRule="auto"/>
        <w:ind w:firstLine="708"/>
        <w:jc w:val="both"/>
        <w:rPr>
          <w:rFonts w:ascii="Arial" w:hAnsi="Arial" w:cs="Arial"/>
        </w:rPr>
      </w:pPr>
      <w:r w:rsidRPr="00AA5151">
        <w:rPr>
          <w:rFonts w:ascii="Arial" w:hAnsi="Arial" w:cs="Arial"/>
        </w:rPr>
        <w:t xml:space="preserve">Nárůst uzavírání RP v posledních čtyřech letech je významný. Z dat </w:t>
      </w:r>
      <w:r w:rsidR="004B6CA4">
        <w:rPr>
          <w:rFonts w:ascii="Arial" w:hAnsi="Arial" w:cs="Arial"/>
        </w:rPr>
        <w:t>sice</w:t>
      </w:r>
      <w:r w:rsidRPr="00AA5151">
        <w:rPr>
          <w:rFonts w:ascii="Arial" w:hAnsi="Arial" w:cs="Arial"/>
        </w:rPr>
        <w:t xml:space="preserve"> není mo</w:t>
      </w:r>
      <w:r w:rsidR="004B6CA4">
        <w:rPr>
          <w:rFonts w:ascii="Arial" w:hAnsi="Arial" w:cs="Arial"/>
        </w:rPr>
        <w:t>žné vyčíst důvod tohoto nárůstu, lze však</w:t>
      </w:r>
      <w:r w:rsidRPr="00AA5151">
        <w:rPr>
          <w:rFonts w:ascii="Arial" w:hAnsi="Arial" w:cs="Arial"/>
        </w:rPr>
        <w:t xml:space="preserve"> předpokládat několik příčin tohoto jevu. Prvním důvodem může být početně silnější věková kohorta lidí ve věku 35–45 let, kteří do RP vstupují nejčastěji. Další příčinou je 14leté období existence RP, které s velkou pravděpodobností přispělo u</w:t>
      </w:r>
      <w:r>
        <w:rPr>
          <w:rFonts w:ascii="Arial" w:hAnsi="Arial" w:cs="Arial"/>
        </w:rPr>
        <w:t> </w:t>
      </w:r>
      <w:r w:rsidRPr="00AA5151">
        <w:rPr>
          <w:rFonts w:ascii="Arial" w:hAnsi="Arial" w:cs="Arial"/>
        </w:rPr>
        <w:t>běžné populace k</w:t>
      </w:r>
      <w:r w:rsidR="00A147C7">
        <w:rPr>
          <w:rFonts w:ascii="Arial" w:hAnsi="Arial" w:cs="Arial"/>
        </w:rPr>
        <w:t> </w:t>
      </w:r>
      <w:r w:rsidRPr="00AA5151">
        <w:rPr>
          <w:rFonts w:ascii="Arial" w:hAnsi="Arial" w:cs="Arial"/>
        </w:rPr>
        <w:t xml:space="preserve">normalizaci pohledu na gaye, lesby a jejich </w:t>
      </w:r>
      <w:r w:rsidR="00A147C7">
        <w:rPr>
          <w:rFonts w:ascii="Arial" w:hAnsi="Arial" w:cs="Arial"/>
        </w:rPr>
        <w:t xml:space="preserve">vzájemné </w:t>
      </w:r>
      <w:r w:rsidRPr="00AA5151">
        <w:rPr>
          <w:rFonts w:ascii="Arial" w:hAnsi="Arial" w:cs="Arial"/>
        </w:rPr>
        <w:t>vztahy. Jak víme z příslušných výzkumů, mezi lety 2014 a 2017</w:t>
      </w:r>
      <w:r w:rsidR="00A147C7">
        <w:rPr>
          <w:rFonts w:ascii="Arial" w:hAnsi="Arial" w:cs="Arial"/>
        </w:rPr>
        <w:t xml:space="preserve">, </w:t>
      </w:r>
      <w:r w:rsidR="00A147C7" w:rsidRPr="00AA5151">
        <w:rPr>
          <w:rFonts w:ascii="Arial" w:hAnsi="Arial" w:cs="Arial"/>
        </w:rPr>
        <w:t xml:space="preserve">kdy </w:t>
      </w:r>
      <w:r w:rsidR="00A147C7">
        <w:rPr>
          <w:rFonts w:ascii="Arial" w:hAnsi="Arial" w:cs="Arial"/>
        </w:rPr>
        <w:t xml:space="preserve">zároveň </w:t>
      </w:r>
      <w:r w:rsidR="00A147C7" w:rsidRPr="00AA5151">
        <w:rPr>
          <w:rFonts w:ascii="Arial" w:hAnsi="Arial" w:cs="Arial"/>
        </w:rPr>
        <w:t>probíhala mediálně viditelná kampaň za rodičovská práva</w:t>
      </w:r>
      <w:r w:rsidR="00A147C7">
        <w:rPr>
          <w:rFonts w:ascii="Arial" w:hAnsi="Arial" w:cs="Arial"/>
        </w:rPr>
        <w:t xml:space="preserve">, </w:t>
      </w:r>
      <w:r w:rsidRPr="00AA5151">
        <w:rPr>
          <w:rFonts w:ascii="Arial" w:hAnsi="Arial" w:cs="Arial"/>
        </w:rPr>
        <w:t>významně narostla</w:t>
      </w:r>
      <w:r w:rsidR="00A147C7">
        <w:rPr>
          <w:rFonts w:ascii="Arial" w:hAnsi="Arial" w:cs="Arial"/>
        </w:rPr>
        <w:t xml:space="preserve"> </w:t>
      </w:r>
      <w:r w:rsidR="00A147C7" w:rsidRPr="00AA5151">
        <w:rPr>
          <w:rFonts w:ascii="Arial" w:hAnsi="Arial" w:cs="Arial"/>
        </w:rPr>
        <w:t>podpora</w:t>
      </w:r>
      <w:r w:rsidR="00A147C7">
        <w:rPr>
          <w:rFonts w:ascii="Arial" w:hAnsi="Arial" w:cs="Arial"/>
        </w:rPr>
        <w:t xml:space="preserve"> veřejnosti</w:t>
      </w:r>
      <w:r w:rsidRPr="00AA5151">
        <w:rPr>
          <w:rFonts w:ascii="Arial" w:hAnsi="Arial" w:cs="Arial"/>
        </w:rPr>
        <w:t xml:space="preserve"> (u tzv. </w:t>
      </w:r>
      <w:proofErr w:type="spellStart"/>
      <w:r w:rsidRPr="00AA5151">
        <w:rPr>
          <w:rFonts w:ascii="Arial" w:hAnsi="Arial" w:cs="Arial"/>
        </w:rPr>
        <w:t>přiosvojení</w:t>
      </w:r>
      <w:proofErr w:type="spellEnd"/>
      <w:r w:rsidRPr="00AA5151">
        <w:rPr>
          <w:rFonts w:ascii="Arial" w:hAnsi="Arial" w:cs="Arial"/>
        </w:rPr>
        <w:t xml:space="preserve"> až o 10 %).</w:t>
      </w:r>
      <w:r w:rsidRPr="00AA5151">
        <w:rPr>
          <w:rFonts w:ascii="Arial" w:hAnsi="Arial" w:cs="Arial"/>
          <w:vertAlign w:val="superscript"/>
        </w:rPr>
        <w:footnoteReference w:id="2"/>
      </w:r>
      <w:r w:rsidRPr="00AA5151">
        <w:rPr>
          <w:rFonts w:ascii="Arial" w:hAnsi="Arial" w:cs="Arial"/>
        </w:rPr>
        <w:t xml:space="preserve"> Vysvětlením následného poklesu od roku 2017 může být legitimizace populistických politiků, političek a politických stran s</w:t>
      </w:r>
      <w:r>
        <w:rPr>
          <w:rFonts w:ascii="Arial" w:hAnsi="Arial" w:cs="Arial"/>
        </w:rPr>
        <w:t> </w:t>
      </w:r>
      <w:r w:rsidRPr="00AA5151">
        <w:rPr>
          <w:rFonts w:ascii="Arial" w:hAnsi="Arial" w:cs="Arial"/>
        </w:rPr>
        <w:t xml:space="preserve">xenofobní a homofobní rétorikou </w:t>
      </w:r>
      <w:r w:rsidR="004B6CA4">
        <w:rPr>
          <w:rFonts w:ascii="Arial" w:hAnsi="Arial" w:cs="Arial"/>
        </w:rPr>
        <w:t xml:space="preserve">před </w:t>
      </w:r>
      <w:r w:rsidRPr="00AA5151">
        <w:rPr>
          <w:rFonts w:ascii="Arial" w:hAnsi="Arial" w:cs="Arial"/>
        </w:rPr>
        <w:t>parlamentními volbami v říjnu roku 2017.</w:t>
      </w:r>
    </w:p>
    <w:p w14:paraId="6D19197A" w14:textId="77777777" w:rsidR="00AA5151" w:rsidRPr="00AA5151" w:rsidRDefault="00AA5151" w:rsidP="00AA5151">
      <w:pPr>
        <w:spacing w:line="276" w:lineRule="auto"/>
        <w:ind w:firstLine="720"/>
        <w:jc w:val="both"/>
        <w:rPr>
          <w:rFonts w:ascii="Arial" w:hAnsi="Arial" w:cs="Arial"/>
          <w:vertAlign w:val="superscript"/>
        </w:rPr>
      </w:pPr>
      <w:r w:rsidRPr="00AA5151">
        <w:rPr>
          <w:rFonts w:ascii="Arial" w:hAnsi="Arial" w:cs="Arial"/>
        </w:rPr>
        <w:t>V souvislosti s množstvím vznikajících RP je třeba podotknout, že počet spolu</w:t>
      </w:r>
      <w:r w:rsidR="00A147C7">
        <w:rPr>
          <w:rFonts w:ascii="Arial" w:hAnsi="Arial" w:cs="Arial"/>
        </w:rPr>
        <w:t xml:space="preserve"> </w:t>
      </w:r>
      <w:r w:rsidRPr="00AA5151">
        <w:rPr>
          <w:rFonts w:ascii="Arial" w:hAnsi="Arial" w:cs="Arial"/>
        </w:rPr>
        <w:t>žijících párů stejného pohlaví je násobně vyšší než počet těch zaregistrovaných. Z jediné analýzy ČSÚ o stavu registrovaného partnerství v Česku</w:t>
      </w:r>
      <w:r w:rsidRPr="00AA5151">
        <w:rPr>
          <w:rFonts w:ascii="Arial" w:hAnsi="Arial" w:cs="Arial"/>
          <w:vertAlign w:val="superscript"/>
        </w:rPr>
        <w:footnoteReference w:id="3"/>
      </w:r>
      <w:r w:rsidR="00C65FDF">
        <w:rPr>
          <w:rFonts w:ascii="Arial" w:hAnsi="Arial" w:cs="Arial"/>
        </w:rPr>
        <w:t>,</w:t>
      </w:r>
      <w:r w:rsidRPr="00AA5151">
        <w:rPr>
          <w:rFonts w:ascii="Arial" w:hAnsi="Arial" w:cs="Arial"/>
        </w:rPr>
        <w:t xml:space="preserve"> vycházející ze Sčítání lidu, bytů a domů 2011 (což byl rok, kdy </w:t>
      </w:r>
      <w:r w:rsidRPr="00AA5151">
        <w:rPr>
          <w:rFonts w:ascii="Arial" w:hAnsi="Arial" w:cs="Arial"/>
        </w:rPr>
        <w:lastRenderedPageBreak/>
        <w:t>do RP vstoupilo vůbec nejméně párů)</w:t>
      </w:r>
      <w:r w:rsidR="00C65FDF">
        <w:rPr>
          <w:rFonts w:ascii="Arial" w:hAnsi="Arial" w:cs="Arial"/>
        </w:rPr>
        <w:t>,</w:t>
      </w:r>
      <w:r w:rsidRPr="00AA5151">
        <w:rPr>
          <w:rFonts w:ascii="Arial" w:hAnsi="Arial" w:cs="Arial"/>
        </w:rPr>
        <w:t xml:space="preserve"> vyplývá, že počet v té době deklarovaných soužití párů stejného pohlaví, ale neregistrovaných, byl až 4</w:t>
      </w:r>
      <w:r w:rsidR="00C65FDF">
        <w:rPr>
          <w:rFonts w:ascii="Arial" w:hAnsi="Arial" w:cs="Arial"/>
        </w:rPr>
        <w:t>krát</w:t>
      </w:r>
      <w:r w:rsidRPr="00AA5151">
        <w:rPr>
          <w:rFonts w:ascii="Arial" w:hAnsi="Arial" w:cs="Arial"/>
        </w:rPr>
        <w:t xml:space="preserve"> vyšší než počet </w:t>
      </w:r>
      <w:r w:rsidR="00111AC5">
        <w:rPr>
          <w:rFonts w:ascii="Arial" w:hAnsi="Arial" w:cs="Arial"/>
        </w:rPr>
        <w:t xml:space="preserve">takových párů </w:t>
      </w:r>
      <w:r w:rsidRPr="00AA5151">
        <w:rPr>
          <w:rFonts w:ascii="Arial" w:hAnsi="Arial" w:cs="Arial"/>
        </w:rPr>
        <w:t>v RP. Jelikož stále značná část populace vnímá homosexualitu jako problém</w:t>
      </w:r>
      <w:r w:rsidRPr="00AA5151">
        <w:rPr>
          <w:rFonts w:ascii="Arial" w:hAnsi="Arial" w:cs="Arial"/>
          <w:vertAlign w:val="superscript"/>
        </w:rPr>
        <w:footnoteReference w:id="4"/>
      </w:r>
      <w:r w:rsidRPr="00AA5151">
        <w:rPr>
          <w:rFonts w:ascii="Arial" w:hAnsi="Arial" w:cs="Arial"/>
        </w:rPr>
        <w:t xml:space="preserve">, je pochopitelná snaha mnoha stejnopohlavních párů nezviditelňovat se např. vstupem do registrovaného partnerství. Proto i ČSÚ odhadoval, že je tento počet ještě vyšší. Podíváme-li se na poměr sezdaných a nesezdaných </w:t>
      </w:r>
      <w:r w:rsidR="00111AC5">
        <w:rPr>
          <w:rFonts w:ascii="Arial" w:hAnsi="Arial" w:cs="Arial"/>
        </w:rPr>
        <w:t xml:space="preserve">heterosexuálních </w:t>
      </w:r>
      <w:r w:rsidRPr="00AA5151">
        <w:rPr>
          <w:rFonts w:ascii="Arial" w:hAnsi="Arial" w:cs="Arial"/>
        </w:rPr>
        <w:t>párů, pak podle Sčítání 2011 nesezdaná partnerství tvořila jen malou část (8,8 %) z faktických partnerských soužití.</w:t>
      </w:r>
      <w:r w:rsidRPr="00AA5151">
        <w:rPr>
          <w:rFonts w:ascii="Arial" w:hAnsi="Arial" w:cs="Arial"/>
          <w:vertAlign w:val="superscript"/>
        </w:rPr>
        <w:footnoteReference w:id="5"/>
      </w:r>
      <w:r w:rsidRPr="00AA5151">
        <w:rPr>
          <w:rFonts w:ascii="Arial" w:hAnsi="Arial" w:cs="Arial"/>
        </w:rPr>
        <w:t xml:space="preserve"> „</w:t>
      </w:r>
      <w:r w:rsidRPr="00C65FDF">
        <w:rPr>
          <w:rFonts w:ascii="Arial" w:hAnsi="Arial" w:cs="Arial"/>
          <w:i/>
        </w:rPr>
        <w:t xml:space="preserve">Toto by mohlo dokladovat </w:t>
      </w:r>
      <w:r w:rsidR="00C65FDF">
        <w:rPr>
          <w:rFonts w:ascii="Arial" w:hAnsi="Arial" w:cs="Arial"/>
          <w:i/>
        </w:rPr>
        <w:t>skutečnost</w:t>
      </w:r>
      <w:r w:rsidRPr="00C65FDF">
        <w:rPr>
          <w:rFonts w:ascii="Arial" w:hAnsi="Arial" w:cs="Arial"/>
          <w:i/>
        </w:rPr>
        <w:t>, že registrované partnerství není uznáním stejnopohlavních vztahů na úrovni manželství, jelikož se těší významně menšímu zájmu. Ostatně to uvádí i zjištění z výzkumu veřejné ochránkyně práv z loňského roku,</w:t>
      </w:r>
      <w:r w:rsidRPr="00AA5151">
        <w:rPr>
          <w:rFonts w:ascii="Arial" w:hAnsi="Arial" w:cs="Arial"/>
        </w:rPr>
        <w:t>“ říká sociolog Sloboda ze Sociologického ústavu AV ČR, který se LGBT právy dlouhodobě zabývá.</w:t>
      </w:r>
    </w:p>
    <w:p w14:paraId="76F3561A" w14:textId="568ED314" w:rsidR="00AA5151" w:rsidRDefault="00AA5151" w:rsidP="0044620B">
      <w:pPr>
        <w:spacing w:line="276" w:lineRule="auto"/>
        <w:ind w:firstLine="708"/>
        <w:jc w:val="both"/>
        <w:rPr>
          <w:rFonts w:ascii="Arial" w:hAnsi="Arial" w:cs="Arial"/>
        </w:rPr>
      </w:pPr>
      <w:r w:rsidRPr="00AA5151">
        <w:rPr>
          <w:rFonts w:ascii="Arial" w:hAnsi="Arial" w:cs="Arial"/>
        </w:rPr>
        <w:t>Ač křivka zrušených partnerství neustále stoupá, jde za prvé o nárůst poměrně malý a</w:t>
      </w:r>
      <w:r w:rsidR="00BE1D9D">
        <w:rPr>
          <w:rFonts w:ascii="Arial" w:hAnsi="Arial" w:cs="Arial"/>
        </w:rPr>
        <w:t> </w:t>
      </w:r>
      <w:r w:rsidRPr="00AA5151">
        <w:rPr>
          <w:rFonts w:ascii="Arial" w:hAnsi="Arial" w:cs="Arial"/>
        </w:rPr>
        <w:t>pozvolný (ve srovnání s křivkou kontinuálního a výraznějšího nárůstu vznikajících RP) a za druhé pochopitelný, jelikož narůstá počet registrovaných partnerství, která se tudíž potenciálně mohou rozpadnout.</w:t>
      </w:r>
    </w:p>
    <w:p w14:paraId="514ABC7C" w14:textId="77777777" w:rsidR="00BE1D9D" w:rsidRPr="00AA5151" w:rsidRDefault="00BE1D9D" w:rsidP="0044620B">
      <w:pPr>
        <w:spacing w:line="276" w:lineRule="auto"/>
        <w:ind w:firstLine="708"/>
        <w:jc w:val="both"/>
        <w:rPr>
          <w:rFonts w:ascii="Arial" w:hAnsi="Arial" w:cs="Arial"/>
        </w:rPr>
      </w:pPr>
    </w:p>
    <w:p w14:paraId="703B1C27" w14:textId="77777777" w:rsidR="00AA5151" w:rsidRPr="00AA5151" w:rsidRDefault="00AA5151" w:rsidP="00AA5151">
      <w:pPr>
        <w:spacing w:line="276" w:lineRule="auto"/>
        <w:jc w:val="both"/>
        <w:rPr>
          <w:rFonts w:ascii="Arial" w:hAnsi="Arial" w:cs="Arial"/>
        </w:rPr>
      </w:pPr>
      <w:r w:rsidRPr="007F3524">
        <w:rPr>
          <w:rFonts w:ascii="Arial" w:hAnsi="Arial" w:cs="Arial"/>
          <w:b/>
        </w:rPr>
        <w:t>Graf 2.</w:t>
      </w:r>
      <w:r w:rsidRPr="00AA5151">
        <w:rPr>
          <w:rFonts w:ascii="Arial" w:hAnsi="Arial" w:cs="Arial"/>
        </w:rPr>
        <w:t xml:space="preserve"> Uzavřená a již zaniklá RP z příslušných let (stav k 31. 12. 2019)</w:t>
      </w:r>
    </w:p>
    <w:p w14:paraId="26B3F5FC" w14:textId="77777777" w:rsidR="00AA5151" w:rsidRPr="00AA5151" w:rsidRDefault="005D51A1" w:rsidP="00BE1D9D">
      <w:pPr>
        <w:spacing w:line="276" w:lineRule="auto"/>
        <w:jc w:val="center"/>
        <w:rPr>
          <w:rFonts w:ascii="Arial" w:hAnsi="Arial" w:cs="Arial"/>
        </w:rPr>
      </w:pPr>
      <w:r w:rsidRPr="00BE1D9D">
        <w:rPr>
          <w:rFonts w:ascii="Arial" w:hAnsi="Arial" w:cs="Arial"/>
          <w:noProof/>
          <w:lang w:eastAsia="cs-CZ"/>
        </w:rPr>
        <w:drawing>
          <wp:inline distT="0" distB="0" distL="0" distR="0" wp14:anchorId="2EDAD70E" wp14:editId="38722506">
            <wp:extent cx="5857875" cy="2519045"/>
            <wp:effectExtent l="0" t="0" r="0" b="0"/>
            <wp:docPr id="10" name="Graf 10">
              <a:extLst xmlns:a="http://schemas.openxmlformats.org/drawingml/2006/main">
                <a:ext uri="{FF2B5EF4-FFF2-40B4-BE49-F238E27FC236}">
                  <a16:creationId xmlns:a16="http://schemas.microsoft.com/office/drawing/2014/main" id="{9B20A47E-B08C-49B9-BCAD-CDB84284F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F09B16" w14:textId="77777777" w:rsidR="00AA5151" w:rsidRPr="00AA5151" w:rsidRDefault="00AA5151" w:rsidP="00AA5151">
      <w:pPr>
        <w:spacing w:line="276" w:lineRule="auto"/>
        <w:jc w:val="both"/>
        <w:rPr>
          <w:rFonts w:ascii="Arial" w:hAnsi="Arial" w:cs="Arial"/>
          <w:i/>
          <w:sz w:val="20"/>
          <w:szCs w:val="20"/>
        </w:rPr>
      </w:pPr>
      <w:r w:rsidRPr="00AA5151">
        <w:rPr>
          <w:rFonts w:ascii="Arial" w:hAnsi="Arial" w:cs="Arial"/>
          <w:i/>
          <w:sz w:val="20"/>
          <w:szCs w:val="20"/>
        </w:rPr>
        <w:t>zdroj: MV ČR</w:t>
      </w:r>
    </w:p>
    <w:p w14:paraId="0F013C5C" w14:textId="77777777" w:rsidR="00BE1D9D" w:rsidRDefault="00BE1D9D">
      <w:pPr>
        <w:rPr>
          <w:rFonts w:ascii="Arial" w:hAnsi="Arial" w:cs="Arial"/>
        </w:rPr>
      </w:pPr>
      <w:r>
        <w:rPr>
          <w:rFonts w:ascii="Arial" w:hAnsi="Arial" w:cs="Arial"/>
        </w:rPr>
        <w:br w:type="page"/>
      </w:r>
    </w:p>
    <w:p w14:paraId="097A9355" w14:textId="015E80D6" w:rsidR="00AA5151" w:rsidRDefault="00AA5151" w:rsidP="0044620B">
      <w:pPr>
        <w:spacing w:line="276" w:lineRule="auto"/>
        <w:jc w:val="both"/>
        <w:rPr>
          <w:rFonts w:ascii="Arial" w:hAnsi="Arial" w:cs="Arial"/>
        </w:rPr>
      </w:pPr>
      <w:r w:rsidRPr="00AA5151">
        <w:rPr>
          <w:rFonts w:ascii="Arial" w:hAnsi="Arial" w:cs="Arial"/>
        </w:rPr>
        <w:lastRenderedPageBreak/>
        <w:t>Podrobnější pohled na délku trvání zrušených RP (celkem 915) uvádí následující graf. Je</w:t>
      </w:r>
      <w:r w:rsidR="00942BE8">
        <w:rPr>
          <w:rFonts w:ascii="Arial" w:hAnsi="Arial" w:cs="Arial"/>
        </w:rPr>
        <w:t> </w:t>
      </w:r>
      <w:r w:rsidRPr="00AA5151">
        <w:rPr>
          <w:rFonts w:ascii="Arial" w:hAnsi="Arial" w:cs="Arial"/>
        </w:rPr>
        <w:t xml:space="preserve">třeba upozornit na </w:t>
      </w:r>
      <w:r w:rsidR="00942BE8">
        <w:rPr>
          <w:rFonts w:ascii="Arial" w:hAnsi="Arial" w:cs="Arial"/>
        </w:rPr>
        <w:t>skutečnost</w:t>
      </w:r>
      <w:r w:rsidRPr="00AA5151">
        <w:rPr>
          <w:rFonts w:ascii="Arial" w:hAnsi="Arial" w:cs="Arial"/>
        </w:rPr>
        <w:t>, že i ta nejdelší registrovaná partnerství mohou trvat pouze 14 let, tedy</w:t>
      </w:r>
      <w:r w:rsidR="00BE1D9D">
        <w:rPr>
          <w:rFonts w:ascii="Arial" w:hAnsi="Arial" w:cs="Arial"/>
        </w:rPr>
        <w:t xml:space="preserve"> </w:t>
      </w:r>
      <w:r w:rsidRPr="00AA5151">
        <w:rPr>
          <w:rFonts w:ascii="Arial" w:hAnsi="Arial" w:cs="Arial"/>
        </w:rPr>
        <w:t>dobu, kdy je možné v Česku do RP vůbec vstupovat.</w:t>
      </w:r>
      <w:r w:rsidRPr="00AA5151">
        <w:rPr>
          <w:rFonts w:ascii="Arial" w:hAnsi="Arial" w:cs="Arial"/>
          <w:vertAlign w:val="superscript"/>
        </w:rPr>
        <w:footnoteReference w:id="6"/>
      </w:r>
      <w:r w:rsidRPr="00AA5151">
        <w:rPr>
          <w:rFonts w:ascii="Arial" w:hAnsi="Arial" w:cs="Arial"/>
        </w:rPr>
        <w:t xml:space="preserve"> Zároveň musíme mít na paměti, že</w:t>
      </w:r>
      <w:r w:rsidR="00942BE8">
        <w:rPr>
          <w:rFonts w:ascii="Arial" w:hAnsi="Arial" w:cs="Arial"/>
        </w:rPr>
        <w:t> </w:t>
      </w:r>
      <w:r w:rsidRPr="00AA5151">
        <w:rPr>
          <w:rFonts w:ascii="Arial" w:hAnsi="Arial" w:cs="Arial"/>
        </w:rPr>
        <w:t>nevíme, co bylo důvodem zrušení RP, jestli úmrtí nebo „rozvod“. Pro srovnání</w:t>
      </w:r>
      <w:r w:rsidR="00942BE8">
        <w:rPr>
          <w:rFonts w:ascii="Arial" w:hAnsi="Arial" w:cs="Arial"/>
        </w:rPr>
        <w:t xml:space="preserve"> se</w:t>
      </w:r>
      <w:r w:rsidRPr="00AA5151">
        <w:rPr>
          <w:rFonts w:ascii="Arial" w:hAnsi="Arial" w:cs="Arial"/>
        </w:rPr>
        <w:t xml:space="preserve"> podle ČSÚ (k</w:t>
      </w:r>
      <w:r w:rsidR="00942BE8">
        <w:rPr>
          <w:rFonts w:ascii="Arial" w:hAnsi="Arial" w:cs="Arial"/>
        </w:rPr>
        <w:t> </w:t>
      </w:r>
      <w:r w:rsidRPr="00AA5151">
        <w:rPr>
          <w:rFonts w:ascii="Arial" w:hAnsi="Arial" w:cs="Arial"/>
        </w:rPr>
        <w:t xml:space="preserve">31. 12. 2018) </w:t>
      </w:r>
      <w:r w:rsidR="00942BE8" w:rsidRPr="00AA5151">
        <w:rPr>
          <w:rFonts w:ascii="Arial" w:hAnsi="Arial" w:cs="Arial"/>
        </w:rPr>
        <w:t xml:space="preserve">z rozvedených heterosexuálních párů </w:t>
      </w:r>
      <w:r w:rsidRPr="00AA5151">
        <w:rPr>
          <w:rFonts w:ascii="Arial" w:hAnsi="Arial" w:cs="Arial"/>
        </w:rPr>
        <w:t>během prvního roku rozvedlo necelé procento manželství, 17</w:t>
      </w:r>
      <w:r w:rsidR="005967E5">
        <w:rPr>
          <w:rFonts w:ascii="Arial" w:hAnsi="Arial" w:cs="Arial"/>
        </w:rPr>
        <w:t> </w:t>
      </w:r>
      <w:r w:rsidRPr="00AA5151">
        <w:rPr>
          <w:rFonts w:ascii="Arial" w:hAnsi="Arial" w:cs="Arial"/>
        </w:rPr>
        <w:t>% trvalo jeden až čtyři roky, 21 % se rozvedlo po 5 až 9 letech a zbývajících 61,8 % po 10 či více letech.</w:t>
      </w:r>
      <w:r w:rsidRPr="00AA5151">
        <w:rPr>
          <w:rFonts w:ascii="Arial" w:hAnsi="Arial" w:cs="Arial"/>
          <w:vertAlign w:val="superscript"/>
        </w:rPr>
        <w:footnoteReference w:id="7"/>
      </w:r>
    </w:p>
    <w:p w14:paraId="21813497" w14:textId="77777777" w:rsidR="00BE1D9D" w:rsidRPr="00AA5151" w:rsidRDefault="00BE1D9D" w:rsidP="0044620B">
      <w:pPr>
        <w:spacing w:line="276" w:lineRule="auto"/>
        <w:jc w:val="both"/>
        <w:rPr>
          <w:rFonts w:ascii="Arial" w:hAnsi="Arial" w:cs="Arial"/>
        </w:rPr>
      </w:pPr>
    </w:p>
    <w:p w14:paraId="3E72CC6A" w14:textId="77777777" w:rsidR="00AA5151" w:rsidRPr="00AA5151" w:rsidRDefault="00AA5151" w:rsidP="00AA5151">
      <w:pPr>
        <w:spacing w:line="276" w:lineRule="auto"/>
        <w:jc w:val="both"/>
        <w:rPr>
          <w:rFonts w:ascii="Arial" w:hAnsi="Arial" w:cs="Arial"/>
        </w:rPr>
      </w:pPr>
      <w:r w:rsidRPr="007F3524">
        <w:rPr>
          <w:rFonts w:ascii="Arial" w:hAnsi="Arial" w:cs="Arial"/>
          <w:b/>
        </w:rPr>
        <w:t>Graf 3.</w:t>
      </w:r>
      <w:r w:rsidRPr="00AA5151">
        <w:rPr>
          <w:rFonts w:ascii="Arial" w:hAnsi="Arial" w:cs="Arial"/>
        </w:rPr>
        <w:t xml:space="preserve"> Zrušená RP podle délky trvání (k 31. 12. 2019)</w:t>
      </w:r>
    </w:p>
    <w:p w14:paraId="5518E29C" w14:textId="77777777" w:rsidR="00AA5151" w:rsidRPr="00AA5151" w:rsidRDefault="005D51A1" w:rsidP="001A7BC1">
      <w:pPr>
        <w:spacing w:line="276" w:lineRule="auto"/>
        <w:jc w:val="center"/>
        <w:rPr>
          <w:rFonts w:ascii="Arial" w:hAnsi="Arial" w:cs="Arial"/>
        </w:rPr>
      </w:pPr>
      <w:r>
        <w:rPr>
          <w:noProof/>
          <w:lang w:eastAsia="cs-CZ"/>
        </w:rPr>
        <w:drawing>
          <wp:inline distT="0" distB="0" distL="0" distR="0" wp14:anchorId="66ED9EBF" wp14:editId="1617BEF3">
            <wp:extent cx="4124325" cy="1895475"/>
            <wp:effectExtent l="0" t="0" r="0" b="0"/>
            <wp:docPr id="11" name="Graf 11">
              <a:extLst xmlns:a="http://schemas.openxmlformats.org/drawingml/2006/main">
                <a:ext uri="{FF2B5EF4-FFF2-40B4-BE49-F238E27FC236}">
                  <a16:creationId xmlns:a16="http://schemas.microsoft.com/office/drawing/2014/main" id="{67650270-D18C-4015-969B-856F5C9D8E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BA6E4A" w14:textId="77777777" w:rsidR="00AA5151" w:rsidRPr="007F3524" w:rsidRDefault="00AA5151" w:rsidP="00AA5151">
      <w:pPr>
        <w:spacing w:line="276" w:lineRule="auto"/>
        <w:jc w:val="both"/>
        <w:rPr>
          <w:rFonts w:ascii="Arial" w:hAnsi="Arial" w:cs="Arial"/>
          <w:i/>
          <w:sz w:val="20"/>
          <w:szCs w:val="20"/>
        </w:rPr>
      </w:pPr>
      <w:r w:rsidRPr="007F3524">
        <w:rPr>
          <w:rFonts w:ascii="Arial" w:hAnsi="Arial" w:cs="Arial"/>
          <w:i/>
          <w:sz w:val="20"/>
          <w:szCs w:val="20"/>
        </w:rPr>
        <w:t>zdroj: MV ČR</w:t>
      </w:r>
    </w:p>
    <w:p w14:paraId="2925CAC6" w14:textId="77777777" w:rsidR="00CC2A57" w:rsidRDefault="00CC2A57">
      <w:pPr>
        <w:rPr>
          <w:rFonts w:ascii="Arial" w:eastAsia="Calibri" w:hAnsi="Arial" w:cs="Arial"/>
          <w:b/>
          <w:i/>
          <w:sz w:val="24"/>
          <w:szCs w:val="28"/>
          <w:lang w:eastAsia="cs-CZ"/>
        </w:rPr>
      </w:pPr>
      <w:r>
        <w:rPr>
          <w:rFonts w:ascii="Arial" w:hAnsi="Arial" w:cs="Arial"/>
          <w:sz w:val="24"/>
        </w:rPr>
        <w:br w:type="page"/>
      </w:r>
    </w:p>
    <w:p w14:paraId="29E0E91E" w14:textId="77777777" w:rsidR="00AA5151" w:rsidRDefault="00AA5151" w:rsidP="00AA5151">
      <w:pPr>
        <w:pStyle w:val="Nadpis2"/>
        <w:jc w:val="both"/>
        <w:rPr>
          <w:rFonts w:ascii="Arial" w:hAnsi="Arial" w:cs="Arial"/>
          <w:sz w:val="24"/>
        </w:rPr>
      </w:pPr>
      <w:r w:rsidRPr="007F3524">
        <w:rPr>
          <w:rFonts w:ascii="Arial" w:hAnsi="Arial" w:cs="Arial"/>
          <w:sz w:val="24"/>
        </w:rPr>
        <w:lastRenderedPageBreak/>
        <w:t xml:space="preserve">Genderové </w:t>
      </w:r>
      <w:r w:rsidR="00C65FDF">
        <w:rPr>
          <w:rFonts w:ascii="Arial" w:hAnsi="Arial" w:cs="Arial"/>
          <w:sz w:val="24"/>
        </w:rPr>
        <w:t>rozdíly</w:t>
      </w:r>
    </w:p>
    <w:p w14:paraId="345BFFE9" w14:textId="77777777" w:rsidR="00C65FDF" w:rsidRPr="00C65FDF" w:rsidRDefault="00C65FDF" w:rsidP="00C65FDF">
      <w:pPr>
        <w:rPr>
          <w:lang w:eastAsia="cs-CZ"/>
        </w:rPr>
      </w:pPr>
    </w:p>
    <w:p w14:paraId="48756995" w14:textId="77777777" w:rsidR="00C65FDF" w:rsidRDefault="00AA5151" w:rsidP="00CC2A57">
      <w:pPr>
        <w:jc w:val="both"/>
        <w:rPr>
          <w:rFonts w:ascii="Arial" w:hAnsi="Arial" w:cs="Arial"/>
          <w:b/>
        </w:rPr>
      </w:pPr>
      <w:r w:rsidRPr="00AA5151">
        <w:rPr>
          <w:rFonts w:ascii="Arial" w:hAnsi="Arial" w:cs="Arial"/>
        </w:rPr>
        <w:t xml:space="preserve">Vedle počtů vzniklých a zaniklých partnerství </w:t>
      </w:r>
      <w:r w:rsidR="00AE33AD">
        <w:rPr>
          <w:rFonts w:ascii="Arial" w:hAnsi="Arial" w:cs="Arial"/>
        </w:rPr>
        <w:t>máme</w:t>
      </w:r>
      <w:r w:rsidRPr="00AA5151">
        <w:rPr>
          <w:rFonts w:ascii="Arial" w:hAnsi="Arial" w:cs="Arial"/>
        </w:rPr>
        <w:t xml:space="preserve"> nejbohatší data o vývoji v souvislosti s</w:t>
      </w:r>
      <w:r w:rsidR="005967E5">
        <w:rPr>
          <w:rFonts w:ascii="Arial" w:hAnsi="Arial" w:cs="Arial"/>
        </w:rPr>
        <w:t> </w:t>
      </w:r>
      <w:r w:rsidRPr="00AA5151">
        <w:rPr>
          <w:rFonts w:ascii="Arial" w:hAnsi="Arial" w:cs="Arial"/>
        </w:rPr>
        <w:t>genderem osob v partnerství, tedy jde-li o páry mužské či ženské.</w:t>
      </w:r>
    </w:p>
    <w:p w14:paraId="5B604E19" w14:textId="77777777" w:rsidR="00AA5151" w:rsidRPr="00AA5151" w:rsidRDefault="00AA5151" w:rsidP="00AA5151">
      <w:pPr>
        <w:jc w:val="both"/>
        <w:rPr>
          <w:rFonts w:ascii="Arial" w:hAnsi="Arial" w:cs="Arial"/>
        </w:rPr>
      </w:pPr>
      <w:r w:rsidRPr="007F3524">
        <w:rPr>
          <w:rFonts w:ascii="Arial" w:hAnsi="Arial" w:cs="Arial"/>
          <w:b/>
        </w:rPr>
        <w:t>Graf 4.</w:t>
      </w:r>
      <w:r w:rsidRPr="00AA5151">
        <w:rPr>
          <w:rFonts w:ascii="Arial" w:hAnsi="Arial" w:cs="Arial"/>
        </w:rPr>
        <w:t xml:space="preserve"> Počty uzavřených RP v letech 2006 až 2019 podle genderu/pohlaví páru</w:t>
      </w:r>
    </w:p>
    <w:p w14:paraId="18A0EE2D" w14:textId="77777777" w:rsidR="00AA5151" w:rsidRPr="00AA5151" w:rsidRDefault="005D51A1" w:rsidP="001A7BC1">
      <w:pPr>
        <w:jc w:val="center"/>
        <w:rPr>
          <w:rFonts w:ascii="Arial" w:hAnsi="Arial" w:cs="Arial"/>
        </w:rPr>
      </w:pPr>
      <w:r>
        <w:rPr>
          <w:noProof/>
          <w:lang w:eastAsia="cs-CZ"/>
        </w:rPr>
        <w:drawing>
          <wp:inline distT="0" distB="0" distL="0" distR="0" wp14:anchorId="462A6E01" wp14:editId="29F66B89">
            <wp:extent cx="6120130" cy="2581275"/>
            <wp:effectExtent l="0" t="0" r="0" b="0"/>
            <wp:docPr id="12" name="Graf 12">
              <a:extLst xmlns:a="http://schemas.openxmlformats.org/drawingml/2006/main">
                <a:ext uri="{FF2B5EF4-FFF2-40B4-BE49-F238E27FC236}">
                  <a16:creationId xmlns:a16="http://schemas.microsoft.com/office/drawing/2014/main" id="{180568F5-4820-4C61-9EFE-6F569D3DD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DDE6B2" w14:textId="77777777" w:rsidR="00AA5151" w:rsidRPr="005D6597" w:rsidRDefault="00AA5151" w:rsidP="00AA5151">
      <w:pPr>
        <w:spacing w:line="276" w:lineRule="auto"/>
        <w:jc w:val="both"/>
        <w:rPr>
          <w:rFonts w:ascii="Arial" w:hAnsi="Arial" w:cs="Arial"/>
          <w:i/>
          <w:sz w:val="20"/>
          <w:szCs w:val="20"/>
        </w:rPr>
      </w:pPr>
      <w:r w:rsidRPr="005D6597">
        <w:rPr>
          <w:rFonts w:ascii="Arial" w:hAnsi="Arial" w:cs="Arial"/>
          <w:i/>
          <w:sz w:val="20"/>
          <w:szCs w:val="20"/>
        </w:rPr>
        <w:t>zdroj: MV ČR</w:t>
      </w:r>
    </w:p>
    <w:p w14:paraId="0BE83D45" w14:textId="77777777" w:rsidR="00AA5151" w:rsidRPr="00AA5151" w:rsidRDefault="00AA5151" w:rsidP="00AA5151">
      <w:pPr>
        <w:spacing w:line="276" w:lineRule="auto"/>
        <w:jc w:val="both"/>
        <w:rPr>
          <w:rFonts w:ascii="Arial" w:hAnsi="Arial" w:cs="Arial"/>
        </w:rPr>
      </w:pPr>
      <w:r w:rsidRPr="00AA5151">
        <w:rPr>
          <w:rFonts w:ascii="Arial" w:hAnsi="Arial" w:cs="Arial"/>
        </w:rPr>
        <w:t xml:space="preserve">Zatímco prvních pět let tvořily až 2/3 nových registrovaných partnerství muži, od roku 2010 </w:t>
      </w:r>
      <w:r w:rsidR="00AE33AD">
        <w:rPr>
          <w:rFonts w:ascii="Arial" w:hAnsi="Arial" w:cs="Arial"/>
        </w:rPr>
        <w:t xml:space="preserve">lze </w:t>
      </w:r>
      <w:r w:rsidRPr="00AA5151">
        <w:rPr>
          <w:rFonts w:ascii="Arial" w:hAnsi="Arial" w:cs="Arial"/>
        </w:rPr>
        <w:t>sledovat kontinuální narůstající zájem žen o tento institut</w:t>
      </w:r>
      <w:r w:rsidR="00AE33AD">
        <w:rPr>
          <w:rFonts w:ascii="Arial" w:hAnsi="Arial" w:cs="Arial"/>
        </w:rPr>
        <w:t>. V</w:t>
      </w:r>
      <w:r w:rsidRPr="00AA5151">
        <w:rPr>
          <w:rFonts w:ascii="Arial" w:hAnsi="Arial" w:cs="Arial"/>
        </w:rPr>
        <w:t> roce 2018 vstoupilo poprvé do RP více žen než mužů (160:158)</w:t>
      </w:r>
      <w:r w:rsidR="00AE33AD">
        <w:rPr>
          <w:rFonts w:ascii="Arial" w:hAnsi="Arial" w:cs="Arial"/>
        </w:rPr>
        <w:t xml:space="preserve"> a p</w:t>
      </w:r>
      <w:r w:rsidRPr="00AA5151">
        <w:rPr>
          <w:rFonts w:ascii="Arial" w:hAnsi="Arial" w:cs="Arial"/>
        </w:rPr>
        <w:t>očet vstupujících ženských párů se mezi lety 2010 a 2019</w:t>
      </w:r>
      <w:r w:rsidR="00AE33AD">
        <w:rPr>
          <w:rFonts w:ascii="Arial" w:hAnsi="Arial" w:cs="Arial"/>
        </w:rPr>
        <w:t xml:space="preserve"> (</w:t>
      </w:r>
      <w:r w:rsidRPr="00AA5151">
        <w:rPr>
          <w:rFonts w:ascii="Arial" w:hAnsi="Arial" w:cs="Arial"/>
        </w:rPr>
        <w:t>tedy</w:t>
      </w:r>
      <w:r w:rsidR="00AE33AD">
        <w:rPr>
          <w:rFonts w:ascii="Arial" w:hAnsi="Arial" w:cs="Arial"/>
        </w:rPr>
        <w:t xml:space="preserve"> mezi lety</w:t>
      </w:r>
      <w:r w:rsidRPr="00AA5151">
        <w:rPr>
          <w:rFonts w:ascii="Arial" w:hAnsi="Arial" w:cs="Arial"/>
        </w:rPr>
        <w:t xml:space="preserve"> s nejmenším a nejvyšším počtem nově uzavřených RP</w:t>
      </w:r>
      <w:r w:rsidR="00AE33AD">
        <w:rPr>
          <w:rFonts w:ascii="Arial" w:hAnsi="Arial" w:cs="Arial"/>
        </w:rPr>
        <w:t>)</w:t>
      </w:r>
      <w:r w:rsidRPr="00AA5151">
        <w:rPr>
          <w:rFonts w:ascii="Arial" w:hAnsi="Arial" w:cs="Arial"/>
        </w:rPr>
        <w:t xml:space="preserve"> ztrojnásobil. </w:t>
      </w:r>
      <w:r w:rsidR="00AE33AD">
        <w:rPr>
          <w:rFonts w:ascii="Arial" w:hAnsi="Arial" w:cs="Arial"/>
        </w:rPr>
        <w:t xml:space="preserve">Mezitím </w:t>
      </w:r>
      <w:r w:rsidRPr="00AA5151">
        <w:rPr>
          <w:rFonts w:ascii="Arial" w:hAnsi="Arial" w:cs="Arial"/>
        </w:rPr>
        <w:t>u mužů je</w:t>
      </w:r>
      <w:r w:rsidR="00AE33AD">
        <w:rPr>
          <w:rFonts w:ascii="Arial" w:hAnsi="Arial" w:cs="Arial"/>
        </w:rPr>
        <w:t xml:space="preserve"> v tomto ohledu</w:t>
      </w:r>
      <w:r w:rsidRPr="00AA5151">
        <w:rPr>
          <w:rFonts w:ascii="Arial" w:hAnsi="Arial" w:cs="Arial"/>
        </w:rPr>
        <w:t xml:space="preserve"> rozdíl</w:t>
      </w:r>
      <w:r w:rsidR="00AE33AD">
        <w:rPr>
          <w:rFonts w:ascii="Arial" w:hAnsi="Arial" w:cs="Arial"/>
        </w:rPr>
        <w:t xml:space="preserve"> dvojnásobný – mezi lety </w:t>
      </w:r>
      <w:r w:rsidRPr="00AA5151">
        <w:rPr>
          <w:rFonts w:ascii="Arial" w:hAnsi="Arial" w:cs="Arial"/>
        </w:rPr>
        <w:t>2011</w:t>
      </w:r>
      <w:r w:rsidR="0068040C">
        <w:rPr>
          <w:rFonts w:ascii="Arial" w:hAnsi="Arial" w:cs="Arial"/>
        </w:rPr>
        <w:t xml:space="preserve"> </w:t>
      </w:r>
      <w:r w:rsidRPr="00AA5151">
        <w:rPr>
          <w:rFonts w:ascii="Arial" w:hAnsi="Arial" w:cs="Arial"/>
        </w:rPr>
        <w:t>a 2016</w:t>
      </w:r>
      <w:r w:rsidR="00AE33AD">
        <w:rPr>
          <w:rFonts w:ascii="Arial" w:hAnsi="Arial" w:cs="Arial"/>
        </w:rPr>
        <w:t>.</w:t>
      </w:r>
      <w:r w:rsidRPr="00AA5151">
        <w:rPr>
          <w:rFonts w:ascii="Arial" w:hAnsi="Arial" w:cs="Arial"/>
        </w:rPr>
        <w:t xml:space="preserve"> Mužské a ženské páry v zásadě zanikají po celou dobu zhruba ve stejném</w:t>
      </w:r>
      <w:r w:rsidR="00AE33AD">
        <w:rPr>
          <w:rFonts w:ascii="Arial" w:hAnsi="Arial" w:cs="Arial"/>
        </w:rPr>
        <w:t xml:space="preserve">, </w:t>
      </w:r>
      <w:r w:rsidRPr="00AA5151">
        <w:rPr>
          <w:rFonts w:ascii="Arial" w:hAnsi="Arial" w:cs="Arial"/>
        </w:rPr>
        <w:t xml:space="preserve">vyrovnaném poměru. Důvodem nárůstu počtu žen vstupujících do RP je </w:t>
      </w:r>
      <w:r w:rsidR="0068040C">
        <w:rPr>
          <w:rFonts w:ascii="Arial" w:hAnsi="Arial" w:cs="Arial"/>
        </w:rPr>
        <w:t xml:space="preserve">pravděpodobně </w:t>
      </w:r>
      <w:r w:rsidR="00230B6E">
        <w:rPr>
          <w:rFonts w:ascii="Arial" w:hAnsi="Arial" w:cs="Arial"/>
        </w:rPr>
        <w:t xml:space="preserve">postupná </w:t>
      </w:r>
      <w:r w:rsidRPr="00AA5151">
        <w:rPr>
          <w:rFonts w:ascii="Arial" w:hAnsi="Arial" w:cs="Arial"/>
        </w:rPr>
        <w:t xml:space="preserve">změna ve vnímání tohoto institutu. </w:t>
      </w:r>
    </w:p>
    <w:p w14:paraId="67832441" w14:textId="65A176F3" w:rsidR="00AA5151" w:rsidRPr="00AA5151" w:rsidRDefault="00AA5151" w:rsidP="00AA5151">
      <w:pPr>
        <w:spacing w:line="276" w:lineRule="auto"/>
        <w:jc w:val="both"/>
        <w:rPr>
          <w:rFonts w:ascii="Arial" w:hAnsi="Arial" w:cs="Arial"/>
        </w:rPr>
      </w:pPr>
      <w:r w:rsidRPr="00AA5151">
        <w:rPr>
          <w:rFonts w:ascii="Arial" w:hAnsi="Arial" w:cs="Arial"/>
        </w:rPr>
        <w:tab/>
        <w:t>Podíváme-li se na vztah genderu osob v nově vznikajících partnerstvích, je možné vidět několik dílčích rozdílů. Ženy vstupují do vztahu zpravidla mladší – průměrný věk je 34</w:t>
      </w:r>
      <w:r w:rsidR="00230B6E">
        <w:rPr>
          <w:rFonts w:ascii="Arial" w:hAnsi="Arial" w:cs="Arial"/>
        </w:rPr>
        <w:t xml:space="preserve"> let</w:t>
      </w:r>
      <w:r w:rsidRPr="00AA5151">
        <w:rPr>
          <w:rFonts w:ascii="Arial" w:hAnsi="Arial" w:cs="Arial"/>
        </w:rPr>
        <w:t>, zatímco u</w:t>
      </w:r>
      <w:r w:rsidR="00825BA3">
        <w:rPr>
          <w:rFonts w:ascii="Arial" w:hAnsi="Arial" w:cs="Arial"/>
        </w:rPr>
        <w:t> </w:t>
      </w:r>
      <w:r w:rsidRPr="00AA5151">
        <w:rPr>
          <w:rFonts w:ascii="Arial" w:hAnsi="Arial" w:cs="Arial"/>
        </w:rPr>
        <w:t>mužů 37</w:t>
      </w:r>
      <w:r w:rsidR="00230B6E">
        <w:rPr>
          <w:rFonts w:ascii="Arial" w:hAnsi="Arial" w:cs="Arial"/>
        </w:rPr>
        <w:t xml:space="preserve"> let</w:t>
      </w:r>
      <w:r w:rsidRPr="00AA5151">
        <w:rPr>
          <w:rFonts w:ascii="Arial" w:hAnsi="Arial" w:cs="Arial"/>
        </w:rPr>
        <w:t>. Zároveň jsou mezi nimi v průměru menší věkové rozdíly – průměrný věkový rozdíl u</w:t>
      </w:r>
      <w:r w:rsidR="00B06A86">
        <w:rPr>
          <w:rFonts w:ascii="Arial" w:hAnsi="Arial" w:cs="Arial"/>
        </w:rPr>
        <w:t> </w:t>
      </w:r>
      <w:r w:rsidRPr="00AA5151">
        <w:rPr>
          <w:rFonts w:ascii="Arial" w:hAnsi="Arial" w:cs="Arial"/>
        </w:rPr>
        <w:t>žen je zhruba 5,5 roku, zatímco u mužů je průměrný rozdíl věku při vstupu do RP skoro 8 let.</w:t>
      </w:r>
    </w:p>
    <w:p w14:paraId="2D12C78D" w14:textId="77777777" w:rsidR="009173A1" w:rsidRDefault="009173A1" w:rsidP="00AA5151">
      <w:pPr>
        <w:spacing w:line="276" w:lineRule="auto"/>
        <w:jc w:val="both"/>
        <w:rPr>
          <w:rFonts w:ascii="Arial" w:hAnsi="Arial" w:cs="Arial"/>
          <w:b/>
        </w:rPr>
      </w:pPr>
    </w:p>
    <w:p w14:paraId="447E4251" w14:textId="77777777" w:rsidR="009173A1" w:rsidRDefault="009173A1" w:rsidP="00AA5151">
      <w:pPr>
        <w:spacing w:line="276" w:lineRule="auto"/>
        <w:jc w:val="both"/>
        <w:rPr>
          <w:rFonts w:ascii="Arial" w:hAnsi="Arial" w:cs="Arial"/>
          <w:b/>
        </w:rPr>
      </w:pPr>
    </w:p>
    <w:p w14:paraId="3AC2EBF4" w14:textId="77777777" w:rsidR="009173A1" w:rsidRDefault="009173A1" w:rsidP="00AA5151">
      <w:pPr>
        <w:spacing w:line="276" w:lineRule="auto"/>
        <w:jc w:val="both"/>
        <w:rPr>
          <w:rFonts w:ascii="Arial" w:hAnsi="Arial" w:cs="Arial"/>
          <w:b/>
        </w:rPr>
      </w:pPr>
    </w:p>
    <w:p w14:paraId="62E2B0E7" w14:textId="77777777" w:rsidR="009173A1" w:rsidRDefault="009173A1" w:rsidP="00AA5151">
      <w:pPr>
        <w:spacing w:line="276" w:lineRule="auto"/>
        <w:jc w:val="both"/>
        <w:rPr>
          <w:rFonts w:ascii="Arial" w:hAnsi="Arial" w:cs="Arial"/>
          <w:b/>
        </w:rPr>
      </w:pPr>
    </w:p>
    <w:p w14:paraId="2DA96FC7" w14:textId="77777777" w:rsidR="009173A1" w:rsidRDefault="009173A1" w:rsidP="00AA5151">
      <w:pPr>
        <w:spacing w:line="276" w:lineRule="auto"/>
        <w:jc w:val="both"/>
        <w:rPr>
          <w:rFonts w:ascii="Arial" w:hAnsi="Arial" w:cs="Arial"/>
          <w:b/>
        </w:rPr>
      </w:pPr>
    </w:p>
    <w:p w14:paraId="5831E14F" w14:textId="77777777" w:rsidR="009173A1" w:rsidRDefault="009173A1" w:rsidP="00AA5151">
      <w:pPr>
        <w:spacing w:line="276" w:lineRule="auto"/>
        <w:jc w:val="both"/>
        <w:rPr>
          <w:rFonts w:ascii="Arial" w:hAnsi="Arial" w:cs="Arial"/>
          <w:b/>
        </w:rPr>
      </w:pPr>
    </w:p>
    <w:p w14:paraId="0C9D8080" w14:textId="77777777" w:rsidR="009173A1" w:rsidRDefault="009173A1" w:rsidP="00AA5151">
      <w:pPr>
        <w:spacing w:line="276" w:lineRule="auto"/>
        <w:jc w:val="both"/>
        <w:rPr>
          <w:rFonts w:ascii="Arial" w:hAnsi="Arial" w:cs="Arial"/>
          <w:b/>
        </w:rPr>
      </w:pPr>
    </w:p>
    <w:p w14:paraId="11575817" w14:textId="77777777" w:rsidR="00AA5151" w:rsidRPr="00AA5151" w:rsidRDefault="00AA5151" w:rsidP="00AA5151">
      <w:pPr>
        <w:spacing w:line="276" w:lineRule="auto"/>
        <w:jc w:val="both"/>
        <w:rPr>
          <w:rFonts w:ascii="Arial" w:hAnsi="Arial" w:cs="Arial"/>
        </w:rPr>
      </w:pPr>
      <w:r w:rsidRPr="007F3524">
        <w:rPr>
          <w:rFonts w:ascii="Arial" w:hAnsi="Arial" w:cs="Arial"/>
          <w:b/>
        </w:rPr>
        <w:t>Graf 5.</w:t>
      </w:r>
      <w:r w:rsidRPr="00AA5151">
        <w:rPr>
          <w:rFonts w:ascii="Arial" w:hAnsi="Arial" w:cs="Arial"/>
        </w:rPr>
        <w:t xml:space="preserve"> Relativní počty mužů a žen podle věku při vstupu do RP</w:t>
      </w:r>
    </w:p>
    <w:p w14:paraId="5EDB1690" w14:textId="77777777" w:rsidR="00AA5151" w:rsidRPr="00AA5151" w:rsidRDefault="005D51A1" w:rsidP="00C65FDF">
      <w:pPr>
        <w:spacing w:line="276" w:lineRule="auto"/>
        <w:jc w:val="center"/>
        <w:rPr>
          <w:rFonts w:ascii="Arial" w:hAnsi="Arial" w:cs="Arial"/>
          <w:sz w:val="20"/>
          <w:szCs w:val="20"/>
        </w:rPr>
      </w:pPr>
      <w:r>
        <w:rPr>
          <w:noProof/>
          <w:lang w:eastAsia="cs-CZ"/>
        </w:rPr>
        <w:drawing>
          <wp:inline distT="0" distB="0" distL="0" distR="0" wp14:anchorId="578AEF20" wp14:editId="26FAAF95">
            <wp:extent cx="4572000" cy="2743200"/>
            <wp:effectExtent l="0" t="0" r="0" b="0"/>
            <wp:docPr id="13" name="Graf 13">
              <a:extLst xmlns:a="http://schemas.openxmlformats.org/drawingml/2006/main">
                <a:ext uri="{FF2B5EF4-FFF2-40B4-BE49-F238E27FC236}">
                  <a16:creationId xmlns:a16="http://schemas.microsoft.com/office/drawing/2014/main" id="{40105279-31F9-4053-8C49-A89AF426A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FD7299" w14:textId="77777777" w:rsidR="00AA5151" w:rsidRPr="007F3524" w:rsidRDefault="00AA5151" w:rsidP="00AA5151">
      <w:pPr>
        <w:spacing w:line="276" w:lineRule="auto"/>
        <w:jc w:val="both"/>
        <w:rPr>
          <w:rFonts w:ascii="Arial" w:hAnsi="Arial" w:cs="Arial"/>
          <w:i/>
          <w:sz w:val="20"/>
          <w:szCs w:val="20"/>
        </w:rPr>
      </w:pPr>
      <w:r w:rsidRPr="007F3524">
        <w:rPr>
          <w:rFonts w:ascii="Arial" w:hAnsi="Arial" w:cs="Arial"/>
          <w:i/>
          <w:sz w:val="20"/>
          <w:szCs w:val="20"/>
        </w:rPr>
        <w:t>zdroj: MV ČR</w:t>
      </w:r>
    </w:p>
    <w:p w14:paraId="3267D518" w14:textId="77777777" w:rsidR="00AA5151" w:rsidRDefault="00AA5151" w:rsidP="00AA5151">
      <w:pPr>
        <w:pStyle w:val="Nadpis2"/>
        <w:jc w:val="both"/>
        <w:rPr>
          <w:rFonts w:ascii="Arial" w:hAnsi="Arial" w:cs="Arial"/>
          <w:sz w:val="24"/>
        </w:rPr>
      </w:pPr>
      <w:r w:rsidRPr="007F3524">
        <w:rPr>
          <w:rFonts w:ascii="Arial" w:hAnsi="Arial" w:cs="Arial"/>
          <w:sz w:val="24"/>
        </w:rPr>
        <w:t>Věková struktura partnerství</w:t>
      </w:r>
    </w:p>
    <w:p w14:paraId="5466C1CD" w14:textId="77777777" w:rsidR="00C65FDF" w:rsidRPr="00C65FDF" w:rsidRDefault="00C65FDF" w:rsidP="00C65FDF">
      <w:pPr>
        <w:rPr>
          <w:lang w:eastAsia="cs-CZ"/>
        </w:rPr>
      </w:pPr>
    </w:p>
    <w:p w14:paraId="0525A546" w14:textId="6B67B81D" w:rsidR="00AA5151" w:rsidRPr="00AA5151" w:rsidRDefault="00AA5151" w:rsidP="00AA5151">
      <w:pPr>
        <w:spacing w:line="276" w:lineRule="auto"/>
        <w:jc w:val="both"/>
        <w:rPr>
          <w:rFonts w:ascii="Arial" w:hAnsi="Arial" w:cs="Arial"/>
        </w:rPr>
      </w:pPr>
      <w:r w:rsidRPr="00AA5151">
        <w:rPr>
          <w:rFonts w:ascii="Arial" w:hAnsi="Arial" w:cs="Arial"/>
        </w:rPr>
        <w:t xml:space="preserve">Ač </w:t>
      </w:r>
      <w:r w:rsidR="00AE33AD">
        <w:rPr>
          <w:rFonts w:ascii="Arial" w:hAnsi="Arial" w:cs="Arial"/>
        </w:rPr>
        <w:t xml:space="preserve">existují </w:t>
      </w:r>
      <w:r w:rsidRPr="00AA5151">
        <w:rPr>
          <w:rFonts w:ascii="Arial" w:hAnsi="Arial" w:cs="Arial"/>
        </w:rPr>
        <w:t>osoby, které vstoupily do RP již v 18 či 19 letech, nejčastějším věkem vstupu je u mužů 37 let a u žen 33</w:t>
      </w:r>
      <w:r w:rsidR="00AE33AD">
        <w:rPr>
          <w:rFonts w:ascii="Arial" w:hAnsi="Arial" w:cs="Arial"/>
        </w:rPr>
        <w:t xml:space="preserve"> let</w:t>
      </w:r>
      <w:r w:rsidRPr="00AA5151">
        <w:rPr>
          <w:rFonts w:ascii="Arial" w:hAnsi="Arial" w:cs="Arial"/>
        </w:rPr>
        <w:t xml:space="preserve">. (Pokud bychom chtěli hledat na opačném pólu, tak nejstaršímu muži, který vstoupil do RP, bylo 87 let a nejstarší ženě 81.) Ukazatel průměrného věku vstupu do RP se </w:t>
      </w:r>
      <w:r w:rsidR="00761FE7">
        <w:rPr>
          <w:rFonts w:ascii="Arial" w:hAnsi="Arial" w:cs="Arial"/>
        </w:rPr>
        <w:t xml:space="preserve">ve srovnání s heterosexuálními páry </w:t>
      </w:r>
      <w:r w:rsidRPr="00AA5151">
        <w:rPr>
          <w:rFonts w:ascii="Arial" w:hAnsi="Arial" w:cs="Arial"/>
        </w:rPr>
        <w:t xml:space="preserve">liší </w:t>
      </w:r>
      <w:r w:rsidR="00761FE7">
        <w:rPr>
          <w:rFonts w:ascii="Arial" w:hAnsi="Arial" w:cs="Arial"/>
        </w:rPr>
        <w:t xml:space="preserve">téměř </w:t>
      </w:r>
      <w:r w:rsidRPr="00AA5151">
        <w:rPr>
          <w:rFonts w:ascii="Arial" w:hAnsi="Arial" w:cs="Arial"/>
        </w:rPr>
        <w:t xml:space="preserve">o čtyři roky, kdy muži vstupují ve 32 </w:t>
      </w:r>
      <w:r w:rsidR="00761FE7">
        <w:rPr>
          <w:rFonts w:ascii="Arial" w:hAnsi="Arial" w:cs="Arial"/>
        </w:rPr>
        <w:t xml:space="preserve">letech </w:t>
      </w:r>
      <w:r w:rsidRPr="00AA5151">
        <w:rPr>
          <w:rFonts w:ascii="Arial" w:hAnsi="Arial" w:cs="Arial"/>
        </w:rPr>
        <w:t>a ženy v</w:t>
      </w:r>
      <w:r w:rsidR="00B06A86">
        <w:rPr>
          <w:rFonts w:ascii="Arial" w:hAnsi="Arial" w:cs="Arial"/>
        </w:rPr>
        <w:t> </w:t>
      </w:r>
      <w:r w:rsidRPr="00AA5151">
        <w:rPr>
          <w:rFonts w:ascii="Arial" w:hAnsi="Arial" w:cs="Arial"/>
        </w:rPr>
        <w:t xml:space="preserve">necelých 30 letech. </w:t>
      </w:r>
      <w:r w:rsidR="00761FE7">
        <w:rPr>
          <w:rFonts w:ascii="Arial" w:hAnsi="Arial" w:cs="Arial"/>
        </w:rPr>
        <w:t>P</w:t>
      </w:r>
      <w:r w:rsidRPr="00AA5151">
        <w:rPr>
          <w:rFonts w:ascii="Arial" w:hAnsi="Arial" w:cs="Arial"/>
        </w:rPr>
        <w:t xml:space="preserve">růměrný věk vstupu do RP se </w:t>
      </w:r>
      <w:r w:rsidR="00761FE7">
        <w:rPr>
          <w:rFonts w:ascii="Arial" w:hAnsi="Arial" w:cs="Arial"/>
        </w:rPr>
        <w:t xml:space="preserve">přitom </w:t>
      </w:r>
      <w:r w:rsidRPr="00AA5151">
        <w:rPr>
          <w:rFonts w:ascii="Arial" w:hAnsi="Arial" w:cs="Arial"/>
        </w:rPr>
        <w:t>za posledních 14 let příliš neměn</w:t>
      </w:r>
      <w:r w:rsidR="00761FE7">
        <w:rPr>
          <w:rFonts w:ascii="Arial" w:hAnsi="Arial" w:cs="Arial"/>
        </w:rPr>
        <w:t>il</w:t>
      </w:r>
      <w:r w:rsidRPr="00AA5151">
        <w:rPr>
          <w:rFonts w:ascii="Arial" w:hAnsi="Arial" w:cs="Arial"/>
        </w:rPr>
        <w:t xml:space="preserve">, zatímco u heterosexuálních párů vzrostl (mezi </w:t>
      </w:r>
      <w:r w:rsidR="00761FE7">
        <w:rPr>
          <w:rFonts w:ascii="Arial" w:hAnsi="Arial" w:cs="Arial"/>
        </w:rPr>
        <w:t xml:space="preserve">lety </w:t>
      </w:r>
      <w:r w:rsidRPr="00AA5151">
        <w:rPr>
          <w:rFonts w:ascii="Arial" w:hAnsi="Arial" w:cs="Arial"/>
        </w:rPr>
        <w:t>2005 a 2017) o dva a půl roku.</w:t>
      </w:r>
      <w:r w:rsidRPr="00AA5151">
        <w:rPr>
          <w:rFonts w:ascii="Arial" w:hAnsi="Arial" w:cs="Arial"/>
          <w:vertAlign w:val="superscript"/>
        </w:rPr>
        <w:footnoteReference w:id="8"/>
      </w:r>
      <w:r w:rsidRPr="00AA5151">
        <w:rPr>
          <w:rFonts w:ascii="Arial" w:hAnsi="Arial" w:cs="Arial"/>
        </w:rPr>
        <w:t xml:space="preserve"> </w:t>
      </w:r>
    </w:p>
    <w:p w14:paraId="10423311" w14:textId="4FBD57AE" w:rsidR="00AA5151" w:rsidRPr="00AA5151" w:rsidRDefault="00AA5151" w:rsidP="007F3524">
      <w:pPr>
        <w:spacing w:line="276" w:lineRule="auto"/>
        <w:ind w:firstLine="720"/>
        <w:jc w:val="both"/>
        <w:rPr>
          <w:rFonts w:ascii="Arial" w:hAnsi="Arial" w:cs="Arial"/>
        </w:rPr>
      </w:pPr>
      <w:r w:rsidRPr="00AA5151">
        <w:rPr>
          <w:rFonts w:ascii="Arial" w:hAnsi="Arial" w:cs="Arial"/>
        </w:rPr>
        <w:t xml:space="preserve">Zajímavé je </w:t>
      </w:r>
      <w:r w:rsidR="00D00279">
        <w:rPr>
          <w:rFonts w:ascii="Arial" w:hAnsi="Arial" w:cs="Arial"/>
        </w:rPr>
        <w:t>sledovat</w:t>
      </w:r>
      <w:r w:rsidRPr="00AA5151">
        <w:rPr>
          <w:rFonts w:ascii="Arial" w:hAnsi="Arial" w:cs="Arial"/>
        </w:rPr>
        <w:t xml:space="preserve"> průměrný věk vstupu do RP v jednotlivých letech. </w:t>
      </w:r>
      <w:r w:rsidR="00D00279">
        <w:rPr>
          <w:rFonts w:ascii="Arial" w:hAnsi="Arial" w:cs="Arial"/>
        </w:rPr>
        <w:t xml:space="preserve">S údaji pro rok </w:t>
      </w:r>
      <w:r w:rsidRPr="00AA5151">
        <w:rPr>
          <w:rFonts w:ascii="Arial" w:hAnsi="Arial" w:cs="Arial"/>
        </w:rPr>
        <w:t>2006 můžeme pracovat s předpokladem, že vzhledem k</w:t>
      </w:r>
      <w:r w:rsidR="00D00279">
        <w:rPr>
          <w:rFonts w:ascii="Arial" w:hAnsi="Arial" w:cs="Arial"/>
        </w:rPr>
        <w:t xml:space="preserve"> předcházející </w:t>
      </w:r>
      <w:r w:rsidRPr="00AA5151">
        <w:rPr>
          <w:rFonts w:ascii="Arial" w:hAnsi="Arial" w:cs="Arial"/>
        </w:rPr>
        <w:t xml:space="preserve">absenci </w:t>
      </w:r>
      <w:r w:rsidR="00D00279">
        <w:rPr>
          <w:rFonts w:ascii="Arial" w:hAnsi="Arial" w:cs="Arial"/>
        </w:rPr>
        <w:t>RP do něj ve značné míře vstupovaly</w:t>
      </w:r>
      <w:r w:rsidRPr="00AA5151">
        <w:rPr>
          <w:rFonts w:ascii="Arial" w:hAnsi="Arial" w:cs="Arial"/>
        </w:rPr>
        <w:t xml:space="preserve"> osoby všech generací, tedy významněji i těch starších, </w:t>
      </w:r>
      <w:r w:rsidR="00D00279">
        <w:rPr>
          <w:rFonts w:ascii="Arial" w:hAnsi="Arial" w:cs="Arial"/>
        </w:rPr>
        <w:t>jež</w:t>
      </w:r>
      <w:r w:rsidRPr="00AA5151">
        <w:rPr>
          <w:rFonts w:ascii="Arial" w:hAnsi="Arial" w:cs="Arial"/>
        </w:rPr>
        <w:t xml:space="preserve"> na uzákonění léta čekaly. Přesto </w:t>
      </w:r>
      <w:r w:rsidR="00E9200B">
        <w:rPr>
          <w:rFonts w:ascii="Arial" w:hAnsi="Arial" w:cs="Arial"/>
        </w:rPr>
        <w:t>se nejedná o zásadní rozdíl</w:t>
      </w:r>
      <w:r w:rsidRPr="00AA5151">
        <w:rPr>
          <w:rFonts w:ascii="Arial" w:hAnsi="Arial" w:cs="Arial"/>
        </w:rPr>
        <w:t>. Prům</w:t>
      </w:r>
      <w:r w:rsidR="009F5BBA">
        <w:rPr>
          <w:rFonts w:ascii="Arial" w:hAnsi="Arial" w:cs="Arial"/>
        </w:rPr>
        <w:t>ěrný věk vstupu v roce 2006 činil</w:t>
      </w:r>
      <w:r w:rsidRPr="00AA5151">
        <w:rPr>
          <w:rFonts w:ascii="Arial" w:hAnsi="Arial" w:cs="Arial"/>
        </w:rPr>
        <w:t xml:space="preserve"> 38,</w:t>
      </w:r>
      <w:r w:rsidR="009F5BBA">
        <w:rPr>
          <w:rFonts w:ascii="Arial" w:hAnsi="Arial" w:cs="Arial"/>
        </w:rPr>
        <w:t>7</w:t>
      </w:r>
      <w:r w:rsidRPr="00AA5151">
        <w:rPr>
          <w:rFonts w:ascii="Arial" w:hAnsi="Arial" w:cs="Arial"/>
        </w:rPr>
        <w:t xml:space="preserve"> let, v</w:t>
      </w:r>
      <w:r w:rsidR="005967E5">
        <w:rPr>
          <w:rFonts w:ascii="Arial" w:hAnsi="Arial" w:cs="Arial"/>
        </w:rPr>
        <w:t> </w:t>
      </w:r>
      <w:r w:rsidRPr="00AA5151">
        <w:rPr>
          <w:rFonts w:ascii="Arial" w:hAnsi="Arial" w:cs="Arial"/>
        </w:rPr>
        <w:t>následujícím roce klesá o zhruba dva a půl roku (36,4), následně ještě o</w:t>
      </w:r>
      <w:r w:rsidR="00761FE7">
        <w:rPr>
          <w:rFonts w:ascii="Arial" w:hAnsi="Arial" w:cs="Arial"/>
        </w:rPr>
        <w:t xml:space="preserve"> další</w:t>
      </w:r>
      <w:r w:rsidRPr="00AA5151">
        <w:rPr>
          <w:rFonts w:ascii="Arial" w:hAnsi="Arial" w:cs="Arial"/>
        </w:rPr>
        <w:t xml:space="preserve"> procento </w:t>
      </w:r>
      <w:r w:rsidR="00761FE7">
        <w:rPr>
          <w:rFonts w:ascii="Arial" w:hAnsi="Arial" w:cs="Arial"/>
        </w:rPr>
        <w:t>a</w:t>
      </w:r>
      <w:r w:rsidRPr="00AA5151">
        <w:rPr>
          <w:rFonts w:ascii="Arial" w:hAnsi="Arial" w:cs="Arial"/>
        </w:rPr>
        <w:t xml:space="preserve"> na úrovni mezi 35 a 36 lety se drží do současnosti. Sloboda uvádí: „</w:t>
      </w:r>
      <w:r w:rsidRPr="00825BA3">
        <w:rPr>
          <w:rFonts w:ascii="Arial" w:hAnsi="Arial" w:cs="Arial"/>
          <w:i/>
        </w:rPr>
        <w:t>Lze uvažovat o tom, že by se časem průměrný věk vstupu do manželství dostal na podob</w:t>
      </w:r>
      <w:r w:rsidR="00825BA3" w:rsidRPr="00825BA3">
        <w:rPr>
          <w:rFonts w:ascii="Arial" w:hAnsi="Arial" w:cs="Arial"/>
          <w:i/>
        </w:rPr>
        <w:t>n</w:t>
      </w:r>
      <w:r w:rsidRPr="00825BA3">
        <w:rPr>
          <w:rFonts w:ascii="Arial" w:hAnsi="Arial" w:cs="Arial"/>
          <w:i/>
        </w:rPr>
        <w:t>ou úroveň jako věk vstupu do RP. Obzvláště proto, že se</w:t>
      </w:r>
      <w:r w:rsidR="00B06A86">
        <w:rPr>
          <w:rFonts w:ascii="Arial" w:hAnsi="Arial" w:cs="Arial"/>
          <w:i/>
        </w:rPr>
        <w:t> </w:t>
      </w:r>
      <w:r w:rsidRPr="00825BA3">
        <w:rPr>
          <w:rFonts w:ascii="Arial" w:hAnsi="Arial" w:cs="Arial"/>
          <w:i/>
        </w:rPr>
        <w:t xml:space="preserve">vstup do manželství stává podobně selektivní. Tedy že do něj vstupují lidé s rozmyslem a jen ti, </w:t>
      </w:r>
      <w:r w:rsidRPr="00825BA3">
        <w:rPr>
          <w:rFonts w:ascii="Arial" w:hAnsi="Arial" w:cs="Arial"/>
          <w:i/>
        </w:rPr>
        <w:lastRenderedPageBreak/>
        <w:t>co skutečně chtějí. U RP tomu tak je, jelikož tento institut nepřináší mnoho praktických výhod a je spíše symbolickým, deklaratorním aktem.</w:t>
      </w:r>
      <w:r w:rsidRPr="00AA5151">
        <w:rPr>
          <w:rFonts w:ascii="Arial" w:hAnsi="Arial" w:cs="Arial"/>
        </w:rPr>
        <w:t>“</w:t>
      </w:r>
    </w:p>
    <w:p w14:paraId="56ADD556" w14:textId="6B4E7816" w:rsidR="00AA5151" w:rsidRDefault="00BE1D9D" w:rsidP="00AA5151">
      <w:pPr>
        <w:spacing w:line="276" w:lineRule="auto"/>
        <w:jc w:val="both"/>
        <w:rPr>
          <w:rFonts w:ascii="Arial" w:hAnsi="Arial" w:cs="Arial"/>
        </w:rPr>
      </w:pPr>
      <w:r w:rsidRPr="00BE1D9D">
        <w:rPr>
          <w:rFonts w:ascii="Arial" w:hAnsi="Arial" w:cs="Arial"/>
          <w:noProof/>
          <w:lang w:eastAsia="cs-CZ"/>
        </w:rPr>
        <w:drawing>
          <wp:anchor distT="0" distB="0" distL="114300" distR="114300" simplePos="0" relativeHeight="251666432" behindDoc="1" locked="0" layoutInCell="1" allowOverlap="1" wp14:anchorId="1C6D5345" wp14:editId="68DAF26D">
            <wp:simplePos x="0" y="0"/>
            <wp:positionH relativeFrom="margin">
              <wp:align>right</wp:align>
            </wp:positionH>
            <wp:positionV relativeFrom="paragraph">
              <wp:posOffset>279400</wp:posOffset>
            </wp:positionV>
            <wp:extent cx="2647950" cy="2426970"/>
            <wp:effectExtent l="0" t="0" r="0" b="0"/>
            <wp:wrapTight wrapText="bothSides">
              <wp:wrapPolygon edited="0">
                <wp:start x="0" y="0"/>
                <wp:lineTo x="0" y="21363"/>
                <wp:lineTo x="21445" y="21363"/>
                <wp:lineTo x="21445" y="0"/>
                <wp:lineTo x="0" y="0"/>
              </wp:wrapPolygon>
            </wp:wrapTight>
            <wp:docPr id="19" name="Graf 1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771624">
        <w:rPr>
          <w:noProof/>
          <w:lang w:eastAsia="cs-CZ"/>
        </w:rPr>
        <w:drawing>
          <wp:anchor distT="0" distB="0" distL="114300" distR="114300" simplePos="0" relativeHeight="251667456" behindDoc="1" locked="0" layoutInCell="1" allowOverlap="1" wp14:anchorId="538C6DFE" wp14:editId="401D7C00">
            <wp:simplePos x="0" y="0"/>
            <wp:positionH relativeFrom="margin">
              <wp:align>left</wp:align>
            </wp:positionH>
            <wp:positionV relativeFrom="paragraph">
              <wp:posOffset>279400</wp:posOffset>
            </wp:positionV>
            <wp:extent cx="3438525" cy="2446020"/>
            <wp:effectExtent l="0" t="0" r="0" b="0"/>
            <wp:wrapTight wrapText="bothSides">
              <wp:wrapPolygon edited="0">
                <wp:start x="0" y="0"/>
                <wp:lineTo x="0" y="21364"/>
                <wp:lineTo x="21420" y="21364"/>
                <wp:lineTo x="21420" y="0"/>
                <wp:lineTo x="0" y="0"/>
              </wp:wrapPolygon>
            </wp:wrapTight>
            <wp:docPr id="20" name="Graf 20">
              <a:extLst xmlns:a="http://schemas.openxmlformats.org/drawingml/2006/main">
                <a:ext uri="{FF2B5EF4-FFF2-40B4-BE49-F238E27FC236}">
                  <a16:creationId xmlns:a16="http://schemas.microsoft.com/office/drawing/2014/main" id="{6AC42ABD-E019-49EE-83B9-6AB7FFA3A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A5151" w:rsidRPr="007F3524">
        <w:rPr>
          <w:rFonts w:ascii="Arial" w:hAnsi="Arial" w:cs="Arial"/>
          <w:b/>
        </w:rPr>
        <w:t>Graf 6.</w:t>
      </w:r>
      <w:r w:rsidR="00AA5151" w:rsidRPr="00AA5151">
        <w:rPr>
          <w:rFonts w:ascii="Arial" w:hAnsi="Arial" w:cs="Arial"/>
        </w:rPr>
        <w:t xml:space="preserve"> Věkový rozdíl vstupujících do RP (k 31. 12. 2019) a manželství (k 31. 12. 2018)</w:t>
      </w:r>
    </w:p>
    <w:p w14:paraId="65DE2CFD" w14:textId="77777777" w:rsidR="00AA5151" w:rsidRPr="007F3524" w:rsidRDefault="00AA5151" w:rsidP="00AA5151">
      <w:pPr>
        <w:spacing w:line="276" w:lineRule="auto"/>
        <w:jc w:val="both"/>
        <w:rPr>
          <w:rFonts w:ascii="Arial" w:hAnsi="Arial" w:cs="Arial"/>
          <w:i/>
          <w:sz w:val="20"/>
          <w:szCs w:val="20"/>
        </w:rPr>
      </w:pPr>
      <w:r w:rsidRPr="007F3524">
        <w:rPr>
          <w:rFonts w:ascii="Arial" w:hAnsi="Arial" w:cs="Arial"/>
          <w:i/>
          <w:sz w:val="20"/>
          <w:szCs w:val="20"/>
        </w:rPr>
        <w:t>zdroj: MV ČR a ČSÚ</w:t>
      </w:r>
    </w:p>
    <w:p w14:paraId="1770E391" w14:textId="77777777" w:rsidR="00AA5151" w:rsidRPr="00AA5151" w:rsidRDefault="00AA5151" w:rsidP="00AA5151">
      <w:pPr>
        <w:spacing w:line="276" w:lineRule="auto"/>
        <w:jc w:val="both"/>
        <w:rPr>
          <w:rFonts w:ascii="Arial" w:hAnsi="Arial" w:cs="Arial"/>
        </w:rPr>
      </w:pPr>
      <w:r w:rsidRPr="00AA5151">
        <w:rPr>
          <w:rFonts w:ascii="Arial" w:hAnsi="Arial" w:cs="Arial"/>
        </w:rPr>
        <w:t xml:space="preserve">Při pohledu na data můžeme také konstatovat, že do RP vstupují až skoro v polovině případů vrstevníci, </w:t>
      </w:r>
      <w:r w:rsidR="005A7A9C">
        <w:rPr>
          <w:rFonts w:ascii="Arial" w:hAnsi="Arial" w:cs="Arial"/>
        </w:rPr>
        <w:t>mezi nimiž je věkový</w:t>
      </w:r>
      <w:r w:rsidRPr="00AA5151">
        <w:rPr>
          <w:rFonts w:ascii="Arial" w:hAnsi="Arial" w:cs="Arial"/>
        </w:rPr>
        <w:t xml:space="preserve"> rozdíl do 5 let. Vůbec nejčastějším věkovým rozdílem jsou dva a tři roky. Věkový rozdíl do 10 let mají více než tři čtvrtiny nově uzavíraných partnerství. </w:t>
      </w:r>
      <w:r w:rsidR="00B916ED">
        <w:rPr>
          <w:rFonts w:ascii="Arial" w:hAnsi="Arial" w:cs="Arial"/>
        </w:rPr>
        <w:t>Věkový r</w:t>
      </w:r>
      <w:r w:rsidRPr="00AA5151">
        <w:rPr>
          <w:rFonts w:ascii="Arial" w:hAnsi="Arial" w:cs="Arial"/>
        </w:rPr>
        <w:t>ozdíl mezi partnery/partnerkami při vstupu do RP na úrovni 20 let a v</w:t>
      </w:r>
      <w:r w:rsidR="00B916ED">
        <w:rPr>
          <w:rFonts w:ascii="Arial" w:hAnsi="Arial" w:cs="Arial"/>
        </w:rPr>
        <w:t>íce</w:t>
      </w:r>
      <w:r w:rsidRPr="00AA5151">
        <w:rPr>
          <w:rFonts w:ascii="Arial" w:hAnsi="Arial" w:cs="Arial"/>
        </w:rPr>
        <w:t xml:space="preserve"> bylo možné </w:t>
      </w:r>
      <w:r w:rsidR="00B916ED">
        <w:rPr>
          <w:rFonts w:ascii="Arial" w:hAnsi="Arial" w:cs="Arial"/>
        </w:rPr>
        <w:t>sledovat</w:t>
      </w:r>
      <w:r w:rsidRPr="00AA5151">
        <w:rPr>
          <w:rFonts w:ascii="Arial" w:hAnsi="Arial" w:cs="Arial"/>
        </w:rPr>
        <w:t xml:space="preserve"> </w:t>
      </w:r>
      <w:r w:rsidR="00FC6B0A">
        <w:rPr>
          <w:rFonts w:ascii="Arial" w:hAnsi="Arial" w:cs="Arial"/>
        </w:rPr>
        <w:t xml:space="preserve">téměř u </w:t>
      </w:r>
      <w:r w:rsidRPr="00AA5151">
        <w:rPr>
          <w:rFonts w:ascii="Arial" w:hAnsi="Arial" w:cs="Arial"/>
        </w:rPr>
        <w:t>6</w:t>
      </w:r>
      <w:r w:rsidR="00B916ED">
        <w:rPr>
          <w:rFonts w:ascii="Arial" w:hAnsi="Arial" w:cs="Arial"/>
        </w:rPr>
        <w:t> </w:t>
      </w:r>
      <w:r w:rsidRPr="00AA5151">
        <w:rPr>
          <w:rFonts w:ascii="Arial" w:hAnsi="Arial" w:cs="Arial"/>
        </w:rPr>
        <w:t>%</w:t>
      </w:r>
      <w:r w:rsidR="00B916ED">
        <w:rPr>
          <w:rFonts w:ascii="Arial" w:hAnsi="Arial" w:cs="Arial"/>
        </w:rPr>
        <w:t xml:space="preserve"> osob</w:t>
      </w:r>
      <w:r w:rsidRPr="00AA5151">
        <w:rPr>
          <w:rFonts w:ascii="Arial" w:hAnsi="Arial" w:cs="Arial"/>
        </w:rPr>
        <w:t>. Když se podíváme na rozdíly ve věku u mužsko-ženských párů vstupují</w:t>
      </w:r>
      <w:r w:rsidR="00761FE7">
        <w:rPr>
          <w:rFonts w:ascii="Arial" w:hAnsi="Arial" w:cs="Arial"/>
        </w:rPr>
        <w:t xml:space="preserve">cích do manželství, ukazuje se odlišná </w:t>
      </w:r>
      <w:r w:rsidRPr="00AA5151">
        <w:rPr>
          <w:rFonts w:ascii="Arial" w:hAnsi="Arial" w:cs="Arial"/>
        </w:rPr>
        <w:t xml:space="preserve">struktura – vrstevníků (do 5 let) věku je výrazná polovina. </w:t>
      </w:r>
      <w:r w:rsidR="00FC6B0A">
        <w:rPr>
          <w:rFonts w:ascii="Arial" w:hAnsi="Arial" w:cs="Arial"/>
        </w:rPr>
        <w:t xml:space="preserve">Téměř v 80 </w:t>
      </w:r>
      <w:r w:rsidRPr="00AA5151">
        <w:rPr>
          <w:rFonts w:ascii="Arial" w:hAnsi="Arial" w:cs="Arial"/>
        </w:rPr>
        <w:t xml:space="preserve">% vznikajících manželství </w:t>
      </w:r>
      <w:r w:rsidR="00FC6B0A">
        <w:rPr>
          <w:rFonts w:ascii="Arial" w:hAnsi="Arial" w:cs="Arial"/>
        </w:rPr>
        <w:t xml:space="preserve">je věkový rozdíl do 10 let </w:t>
      </w:r>
      <w:r w:rsidRPr="00AA5151">
        <w:rPr>
          <w:rFonts w:ascii="Arial" w:hAnsi="Arial" w:cs="Arial"/>
        </w:rPr>
        <w:t xml:space="preserve">a rozdíl vyšší 20 let </w:t>
      </w:r>
      <w:r w:rsidR="00F91F85">
        <w:rPr>
          <w:rFonts w:ascii="Arial" w:hAnsi="Arial" w:cs="Arial"/>
        </w:rPr>
        <w:t xml:space="preserve">najdeme </w:t>
      </w:r>
      <w:r w:rsidRPr="00AA5151">
        <w:rPr>
          <w:rFonts w:ascii="Arial" w:hAnsi="Arial" w:cs="Arial"/>
        </w:rPr>
        <w:t>jen u 1,3 % novomanželů.</w:t>
      </w:r>
      <w:r w:rsidRPr="00AA5151">
        <w:rPr>
          <w:rFonts w:ascii="Arial" w:hAnsi="Arial" w:cs="Arial"/>
          <w:vertAlign w:val="superscript"/>
        </w:rPr>
        <w:footnoteReference w:id="9"/>
      </w:r>
    </w:p>
    <w:p w14:paraId="60D6FC9A" w14:textId="77777777" w:rsidR="00AA5151" w:rsidRPr="00AA5151" w:rsidRDefault="00AA5151" w:rsidP="00AA5151">
      <w:pPr>
        <w:spacing w:line="276" w:lineRule="auto"/>
        <w:ind w:firstLine="720"/>
        <w:jc w:val="both"/>
        <w:rPr>
          <w:rFonts w:ascii="Arial" w:hAnsi="Arial" w:cs="Arial"/>
        </w:rPr>
      </w:pPr>
      <w:r w:rsidRPr="00AA5151">
        <w:rPr>
          <w:rFonts w:ascii="Arial" w:hAnsi="Arial" w:cs="Arial"/>
        </w:rPr>
        <w:t>Posledním jevem, kterým se v této části zabýv</w:t>
      </w:r>
      <w:r w:rsidR="005967E5">
        <w:rPr>
          <w:rFonts w:ascii="Arial" w:hAnsi="Arial" w:cs="Arial"/>
        </w:rPr>
        <w:t>áme,</w:t>
      </w:r>
      <w:r w:rsidRPr="00AA5151">
        <w:rPr>
          <w:rFonts w:ascii="Arial" w:hAnsi="Arial" w:cs="Arial"/>
        </w:rPr>
        <w:t xml:space="preserve"> </w:t>
      </w:r>
      <w:r w:rsidR="005967E5">
        <w:rPr>
          <w:rFonts w:ascii="Arial" w:hAnsi="Arial" w:cs="Arial"/>
        </w:rPr>
        <w:t>je</w:t>
      </w:r>
      <w:r w:rsidRPr="00AA5151">
        <w:rPr>
          <w:rFonts w:ascii="Arial" w:hAnsi="Arial" w:cs="Arial"/>
        </w:rPr>
        <w:t xml:space="preserve"> věkové složení existujících registrovaných partnerství ke konci roku 2019. Podíváme-li se na něj </w:t>
      </w:r>
      <w:r w:rsidR="005967E5">
        <w:rPr>
          <w:rFonts w:ascii="Arial" w:hAnsi="Arial" w:cs="Arial"/>
        </w:rPr>
        <w:t xml:space="preserve">v následujícím grafu (graf 10a), </w:t>
      </w:r>
      <w:r w:rsidRPr="00AA5151">
        <w:rPr>
          <w:rFonts w:ascii="Arial" w:hAnsi="Arial" w:cs="Arial"/>
        </w:rPr>
        <w:t>je možné sledovat významně nižší zastoupení věkových skupin nad 50 let oproti manželství (graf</w:t>
      </w:r>
      <w:r w:rsidR="00F44BE1">
        <w:rPr>
          <w:rFonts w:ascii="Arial" w:hAnsi="Arial" w:cs="Arial"/>
        </w:rPr>
        <w:t> </w:t>
      </w:r>
      <w:r w:rsidRPr="00AA5151">
        <w:rPr>
          <w:rFonts w:ascii="Arial" w:hAnsi="Arial" w:cs="Arial"/>
        </w:rPr>
        <w:t>10b).  Průměrný věk osob v  RP je 41 let. Nejstarším žijícím registrovaným párem (uzavřeným v roce 2006) je ženský pár ve věku 94 a 90 let.</w:t>
      </w:r>
    </w:p>
    <w:p w14:paraId="32A5925D" w14:textId="77777777" w:rsidR="00AA5151" w:rsidRDefault="00AA5151" w:rsidP="00AA5151">
      <w:pPr>
        <w:jc w:val="both"/>
        <w:rPr>
          <w:rFonts w:ascii="Arial" w:hAnsi="Arial" w:cs="Arial"/>
        </w:rPr>
      </w:pPr>
    </w:p>
    <w:p w14:paraId="14ECBB47" w14:textId="77777777" w:rsidR="003D1AD7" w:rsidRDefault="003D1AD7" w:rsidP="00AA5151">
      <w:pPr>
        <w:jc w:val="both"/>
        <w:rPr>
          <w:rFonts w:ascii="Arial" w:hAnsi="Arial" w:cs="Arial"/>
          <w:b/>
        </w:rPr>
      </w:pPr>
    </w:p>
    <w:p w14:paraId="58D93CD4" w14:textId="77777777" w:rsidR="003D1AD7" w:rsidRDefault="003D1AD7" w:rsidP="00AA5151">
      <w:pPr>
        <w:jc w:val="both"/>
        <w:rPr>
          <w:rFonts w:ascii="Arial" w:hAnsi="Arial" w:cs="Arial"/>
          <w:b/>
        </w:rPr>
      </w:pPr>
    </w:p>
    <w:p w14:paraId="01208BD5" w14:textId="4F29541E" w:rsidR="003D1AD7" w:rsidRPr="00BE1D9D" w:rsidRDefault="003D1AD7" w:rsidP="00AA5151">
      <w:pPr>
        <w:jc w:val="both"/>
        <w:rPr>
          <w:rFonts w:ascii="Arial" w:hAnsi="Arial" w:cs="Arial"/>
        </w:rPr>
      </w:pPr>
      <w:r w:rsidRPr="00BE1D9D">
        <w:rPr>
          <w:rFonts w:ascii="Arial" w:hAnsi="Arial" w:cs="Arial"/>
          <w:noProof/>
          <w:lang w:eastAsia="cs-CZ"/>
        </w:rPr>
        <w:lastRenderedPageBreak/>
        <mc:AlternateContent>
          <mc:Cho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cx2">
            <w:drawing>
              <wp:anchor distT="0" distB="0" distL="114300" distR="114300" simplePos="0" relativeHeight="251669504" behindDoc="1" locked="0" layoutInCell="1" allowOverlap="1" wp14:anchorId="3FC6B218" wp14:editId="44AB112B">
                <wp:simplePos x="0" y="0"/>
                <wp:positionH relativeFrom="column">
                  <wp:posOffset>-43815</wp:posOffset>
                </wp:positionH>
                <wp:positionV relativeFrom="paragraph">
                  <wp:posOffset>468630</wp:posOffset>
                </wp:positionV>
                <wp:extent cx="2647950" cy="5210175"/>
                <wp:effectExtent l="0" t="0" r="0" b="9525"/>
                <wp:wrapTight wrapText="bothSides">
                  <wp:wrapPolygon edited="0">
                    <wp:start x="0" y="0"/>
                    <wp:lineTo x="0" y="21561"/>
                    <wp:lineTo x="21445" y="21561"/>
                    <wp:lineTo x="21445" y="0"/>
                    <wp:lineTo x="0" y="0"/>
                  </wp:wrapPolygon>
                </wp:wrapTight>
                <wp:docPr id="22" name="Graf 22">
                  <a:extLst xmlns:a="http://schemas.openxmlformats.org/drawingml/2006/main">
                    <a:ext uri="{FF2B5EF4-FFF2-40B4-BE49-F238E27FC236}">
                      <a16:creationId xmlns:a16="http://schemas.microsoft.com/office/drawing/2014/main" id="{534FFFAA-CAFB-4FC8-83A2-D73B610C407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1" locked="0" layoutInCell="1" allowOverlap="1" wp14:anchorId="3FC6B218" wp14:editId="44AB112B">
                <wp:simplePos x="0" y="0"/>
                <wp:positionH relativeFrom="column">
                  <wp:posOffset>-43815</wp:posOffset>
                </wp:positionH>
                <wp:positionV relativeFrom="paragraph">
                  <wp:posOffset>468630</wp:posOffset>
                </wp:positionV>
                <wp:extent cx="2647950" cy="5210175"/>
                <wp:effectExtent l="0" t="0" r="0" b="9525"/>
                <wp:wrapTight wrapText="bothSides">
                  <wp:wrapPolygon edited="0">
                    <wp:start x="0" y="0"/>
                    <wp:lineTo x="0" y="21561"/>
                    <wp:lineTo x="21445" y="21561"/>
                    <wp:lineTo x="21445" y="0"/>
                    <wp:lineTo x="0" y="0"/>
                  </wp:wrapPolygon>
                </wp:wrapTight>
                <wp:docPr id="22" name="Graf 22">
                  <a:extLst xmlns:a="http://schemas.openxmlformats.org/drawingml/2006/main">
                    <a:ext uri="{FF2B5EF4-FFF2-40B4-BE49-F238E27FC236}">
                      <a16:creationId xmlns:a16="http://schemas.microsoft.com/office/drawing/2014/main" id="{534FFFAA-CAFB-4FC8-83A2-D73B610C407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Graf 22">
                          <a:extLst>
                            <a:ext uri="{FF2B5EF4-FFF2-40B4-BE49-F238E27FC236}">
                              <a16:creationId xmlns:a16="http://schemas.microsoft.com/office/drawing/2014/main" id="{534FFFAA-CAFB-4FC8-83A2-D73B610C4076}"/>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2647950" cy="521017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BE1D9D">
        <w:rPr>
          <w:rFonts w:ascii="Arial" w:hAnsi="Arial" w:cs="Arial"/>
          <w:noProof/>
          <w:lang w:eastAsia="cs-CZ"/>
        </w:rPr>
        <mc:AlternateContent>
          <mc:Cho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cx2">
            <w:drawing>
              <wp:anchor distT="0" distB="0" distL="114300" distR="114300" simplePos="0" relativeHeight="251668480" behindDoc="1" locked="0" layoutInCell="1" allowOverlap="1" wp14:anchorId="669DDFDA" wp14:editId="51A19B11">
                <wp:simplePos x="0" y="0"/>
                <wp:positionH relativeFrom="column">
                  <wp:posOffset>2556510</wp:posOffset>
                </wp:positionH>
                <wp:positionV relativeFrom="paragraph">
                  <wp:posOffset>467995</wp:posOffset>
                </wp:positionV>
                <wp:extent cx="3602355" cy="5553075"/>
                <wp:effectExtent l="0" t="0" r="17145" b="9525"/>
                <wp:wrapTight wrapText="bothSides">
                  <wp:wrapPolygon edited="0">
                    <wp:start x="0" y="0"/>
                    <wp:lineTo x="0" y="21563"/>
                    <wp:lineTo x="21589" y="21563"/>
                    <wp:lineTo x="21589" y="0"/>
                    <wp:lineTo x="0" y="0"/>
                  </wp:wrapPolygon>
                </wp:wrapTight>
                <wp:docPr id="21" name="Graf 2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8480" behindDoc="1" locked="0" layoutInCell="1" allowOverlap="1" wp14:anchorId="669DDFDA" wp14:editId="51A19B11">
                <wp:simplePos x="0" y="0"/>
                <wp:positionH relativeFrom="column">
                  <wp:posOffset>2556510</wp:posOffset>
                </wp:positionH>
                <wp:positionV relativeFrom="paragraph">
                  <wp:posOffset>467995</wp:posOffset>
                </wp:positionV>
                <wp:extent cx="3602355" cy="5553075"/>
                <wp:effectExtent l="0" t="0" r="17145" b="9525"/>
                <wp:wrapTight wrapText="bothSides">
                  <wp:wrapPolygon edited="0">
                    <wp:start x="0" y="0"/>
                    <wp:lineTo x="0" y="21563"/>
                    <wp:lineTo x="21589" y="21563"/>
                    <wp:lineTo x="21589" y="0"/>
                    <wp:lineTo x="0" y="0"/>
                  </wp:wrapPolygon>
                </wp:wrapTight>
                <wp:docPr id="21" name="Graf 2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Graf 21">
                          <a:extLst>
                            <a:ext uri="{FF2B5EF4-FFF2-40B4-BE49-F238E27FC236}">
                              <a16:creationId xmlns:a16="http://schemas.microsoft.com/office/drawing/2014/main" id="{00000000-0008-0000-0000-000002000000}"/>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3602355" cy="555307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BE1D9D">
        <w:rPr>
          <w:rFonts w:ascii="Arial" w:hAnsi="Arial" w:cs="Arial"/>
          <w:b/>
        </w:rPr>
        <w:t>Graf 7.</w:t>
      </w:r>
      <w:r w:rsidRPr="00BE1D9D">
        <w:rPr>
          <w:rFonts w:ascii="Arial" w:hAnsi="Arial" w:cs="Arial"/>
        </w:rPr>
        <w:t xml:space="preserve"> Věková struktura žen a mužů v registrovaných partnerstvích (oranžově, k 31. 12. 2019) a v manželství (modře, k 31. 12. 2018)</w:t>
      </w:r>
    </w:p>
    <w:p w14:paraId="58A10966" w14:textId="3B5160A1" w:rsidR="00AA5151" w:rsidRDefault="00AA5151" w:rsidP="003D1AD7">
      <w:pPr>
        <w:jc w:val="both"/>
        <w:rPr>
          <w:rFonts w:ascii="Arial" w:hAnsi="Arial" w:cs="Arial"/>
          <w:i/>
          <w:sz w:val="20"/>
          <w:szCs w:val="20"/>
        </w:rPr>
      </w:pPr>
      <w:r w:rsidRPr="001A7BC1">
        <w:rPr>
          <w:rFonts w:ascii="Arial" w:hAnsi="Arial" w:cs="Arial"/>
          <w:i/>
          <w:sz w:val="20"/>
          <w:szCs w:val="20"/>
        </w:rPr>
        <w:t>zdroj: MV ČR a ČSÚ</w:t>
      </w:r>
    </w:p>
    <w:p w14:paraId="3BF4D888" w14:textId="77777777" w:rsidR="00BE1D9D" w:rsidRPr="001A7BC1" w:rsidRDefault="00BE1D9D" w:rsidP="003D1AD7">
      <w:pPr>
        <w:jc w:val="both"/>
        <w:rPr>
          <w:rFonts w:ascii="Arial" w:hAnsi="Arial" w:cs="Arial"/>
          <w:i/>
          <w:sz w:val="20"/>
          <w:szCs w:val="20"/>
        </w:rPr>
      </w:pPr>
    </w:p>
    <w:p w14:paraId="2CA8C71D" w14:textId="77777777" w:rsidR="00BE1D9D" w:rsidRDefault="00BE1D9D" w:rsidP="00AA5151">
      <w:pPr>
        <w:pStyle w:val="Nadpis2"/>
        <w:jc w:val="both"/>
        <w:rPr>
          <w:rFonts w:ascii="Arial" w:hAnsi="Arial" w:cs="Arial"/>
          <w:sz w:val="24"/>
        </w:rPr>
      </w:pPr>
    </w:p>
    <w:p w14:paraId="34F26F8A" w14:textId="127EFC7B" w:rsidR="00AA5151" w:rsidRDefault="00AA5151" w:rsidP="00AA5151">
      <w:pPr>
        <w:pStyle w:val="Nadpis2"/>
        <w:jc w:val="both"/>
        <w:rPr>
          <w:rFonts w:ascii="Arial" w:hAnsi="Arial" w:cs="Arial"/>
          <w:sz w:val="24"/>
        </w:rPr>
      </w:pPr>
      <w:r w:rsidRPr="00AA5151">
        <w:rPr>
          <w:rFonts w:ascii="Arial" w:hAnsi="Arial" w:cs="Arial"/>
          <w:sz w:val="24"/>
        </w:rPr>
        <w:t>Děti v partnerstvích párů stejného pohlaví</w:t>
      </w:r>
    </w:p>
    <w:p w14:paraId="5576D2B4" w14:textId="77777777" w:rsidR="00BE1D9D" w:rsidRPr="00BE1D9D" w:rsidRDefault="00BE1D9D" w:rsidP="00BE1D9D">
      <w:pPr>
        <w:rPr>
          <w:lang w:eastAsia="cs-CZ"/>
        </w:rPr>
      </w:pPr>
    </w:p>
    <w:p w14:paraId="53ADCC23" w14:textId="77777777" w:rsidR="00AA5151" w:rsidRPr="00AA5151" w:rsidRDefault="002822A6" w:rsidP="00AA5151">
      <w:pPr>
        <w:spacing w:line="276" w:lineRule="auto"/>
        <w:jc w:val="both"/>
        <w:rPr>
          <w:rFonts w:ascii="Arial" w:hAnsi="Arial" w:cs="Arial"/>
        </w:rPr>
      </w:pPr>
      <w:bookmarkStart w:id="0" w:name="_30j0zll" w:colFirst="0" w:colLast="0"/>
      <w:bookmarkStart w:id="1" w:name="_nmmrv4aljc52" w:colFirst="0" w:colLast="0"/>
      <w:bookmarkEnd w:id="0"/>
      <w:bookmarkEnd w:id="1"/>
      <w:r>
        <w:rPr>
          <w:rFonts w:ascii="Arial" w:hAnsi="Arial" w:cs="Arial"/>
        </w:rPr>
        <w:t>M</w:t>
      </w:r>
      <w:r w:rsidR="00AA5151" w:rsidRPr="00AA5151">
        <w:rPr>
          <w:rFonts w:ascii="Arial" w:hAnsi="Arial" w:cs="Arial"/>
        </w:rPr>
        <w:t xml:space="preserve">ediálně i politicky nejkontroverznějším tématem ve vztahu ke gayům a lesbám je </w:t>
      </w:r>
      <w:r>
        <w:rPr>
          <w:rFonts w:ascii="Arial" w:hAnsi="Arial" w:cs="Arial"/>
        </w:rPr>
        <w:t xml:space="preserve">nejspíše </w:t>
      </w:r>
      <w:r w:rsidR="00AA5151" w:rsidRPr="00AA5151">
        <w:rPr>
          <w:rFonts w:ascii="Arial" w:hAnsi="Arial" w:cs="Arial"/>
        </w:rPr>
        <w:t xml:space="preserve">rodičovství. Stejnopohlavní páry se mohou stát rodiči několika způsoby: buď jeden či jedna z nich (či oba/obě) přichází do vztahu s dětmi z předchozích vztahů, nebo </w:t>
      </w:r>
      <w:r w:rsidR="006868E0">
        <w:rPr>
          <w:rFonts w:ascii="Arial" w:hAnsi="Arial" w:cs="Arial"/>
        </w:rPr>
        <w:t xml:space="preserve">má </w:t>
      </w:r>
      <w:r w:rsidR="00AA5151" w:rsidRPr="00AA5151">
        <w:rPr>
          <w:rFonts w:ascii="Arial" w:hAnsi="Arial" w:cs="Arial"/>
        </w:rPr>
        <w:t xml:space="preserve">dítě jeden z nich svěřené do péče formou adopce či pěstounství, </w:t>
      </w:r>
      <w:r w:rsidR="006868E0">
        <w:rPr>
          <w:rFonts w:ascii="Arial" w:hAnsi="Arial" w:cs="Arial"/>
        </w:rPr>
        <w:t>případně</w:t>
      </w:r>
      <w:r w:rsidR="00AA5151" w:rsidRPr="00AA5151">
        <w:rPr>
          <w:rFonts w:ascii="Arial" w:hAnsi="Arial" w:cs="Arial"/>
        </w:rPr>
        <w:t>, jak uvádí Sloboda: „</w:t>
      </w:r>
      <w:r w:rsidR="00AA5151" w:rsidRPr="005967E5">
        <w:rPr>
          <w:rFonts w:ascii="Arial" w:hAnsi="Arial" w:cs="Arial"/>
          <w:i/>
        </w:rPr>
        <w:t xml:space="preserve">V posledních několika letech to představuje nejspíše nejčastější způsob – tedy že se děti rodí plánovaně již do domácností párů </w:t>
      </w:r>
      <w:r w:rsidR="00AA5151" w:rsidRPr="005967E5">
        <w:rPr>
          <w:rFonts w:ascii="Arial" w:hAnsi="Arial" w:cs="Arial"/>
          <w:i/>
        </w:rPr>
        <w:lastRenderedPageBreak/>
        <w:t>stejného pohlaví. Případně do tzv. sdíleného rodičovství lesbického páru s otcem gayem či párem gay otců. Ať je způsob jakýkoliv, faktem ale rozhodně je, že gayové a lesby rodiči byli, jsou a budou, bez ohledu na kvalitu právního ukotvení nebo komplikovanost uskutečnění rodičovských tužeb.“</w:t>
      </w:r>
    </w:p>
    <w:p w14:paraId="4D7D2DBC" w14:textId="5EBE6D4D" w:rsidR="00AA5151" w:rsidRPr="00AA5151" w:rsidRDefault="00AA5151" w:rsidP="00AA5151">
      <w:pPr>
        <w:spacing w:line="276" w:lineRule="auto"/>
        <w:ind w:firstLine="720"/>
        <w:jc w:val="both"/>
        <w:rPr>
          <w:rFonts w:ascii="Arial" w:eastAsia="Times New Roman" w:hAnsi="Arial" w:cs="Arial"/>
        </w:rPr>
      </w:pPr>
      <w:r w:rsidRPr="00AA5151">
        <w:rPr>
          <w:rFonts w:ascii="Arial" w:hAnsi="Arial" w:cs="Arial"/>
        </w:rPr>
        <w:t>Určit počet dětí v těchto párech a množství dětí, které gayové a lesby mají</w:t>
      </w:r>
      <w:r w:rsidR="00761FE7">
        <w:rPr>
          <w:rFonts w:ascii="Arial" w:hAnsi="Arial" w:cs="Arial"/>
        </w:rPr>
        <w:t>,</w:t>
      </w:r>
      <w:r w:rsidRPr="00AA5151">
        <w:rPr>
          <w:rFonts w:ascii="Arial" w:hAnsi="Arial" w:cs="Arial"/>
        </w:rPr>
        <w:t xml:space="preserve"> je poměrně složité, vedle nedostatečných dat j</w:t>
      </w:r>
      <w:r w:rsidR="00761FE7">
        <w:rPr>
          <w:rFonts w:ascii="Arial" w:hAnsi="Arial" w:cs="Arial"/>
        </w:rPr>
        <w:t xml:space="preserve">eště z dalších důvodů. Zásadní skutečností </w:t>
      </w:r>
      <w:r w:rsidRPr="00AA5151">
        <w:rPr>
          <w:rFonts w:ascii="Arial" w:hAnsi="Arial" w:cs="Arial"/>
        </w:rPr>
        <w:t>je, že se drtivá většina dětí se vyskytuje mimo registrovaná soužití</w:t>
      </w:r>
      <w:r w:rsidR="00FE2980">
        <w:rPr>
          <w:rFonts w:ascii="Arial" w:hAnsi="Arial" w:cs="Arial"/>
        </w:rPr>
        <w:t xml:space="preserve"> (</w:t>
      </w:r>
      <w:r w:rsidR="005967E5">
        <w:rPr>
          <w:rFonts w:ascii="Arial" w:hAnsi="Arial" w:cs="Arial"/>
        </w:rPr>
        <w:t>v</w:t>
      </w:r>
      <w:r w:rsidRPr="00AA5151">
        <w:rPr>
          <w:rFonts w:ascii="Arial" w:hAnsi="Arial" w:cs="Arial"/>
        </w:rPr>
        <w:t xml:space="preserve"> různopohlavních partnerstvích se</w:t>
      </w:r>
      <w:r w:rsidR="00FE2980">
        <w:rPr>
          <w:rFonts w:ascii="Arial" w:hAnsi="Arial" w:cs="Arial"/>
        </w:rPr>
        <w:t xml:space="preserve"> pro srovnání </w:t>
      </w:r>
      <w:r w:rsidR="005967E5">
        <w:rPr>
          <w:rFonts w:ascii="Arial" w:hAnsi="Arial" w:cs="Arial"/>
        </w:rPr>
        <w:t xml:space="preserve">přibližně </w:t>
      </w:r>
      <w:r w:rsidRPr="00AA5151">
        <w:rPr>
          <w:rFonts w:ascii="Arial" w:hAnsi="Arial" w:cs="Arial"/>
        </w:rPr>
        <w:t>polovin</w:t>
      </w:r>
      <w:r w:rsidR="005967E5">
        <w:rPr>
          <w:rFonts w:ascii="Arial" w:hAnsi="Arial" w:cs="Arial"/>
        </w:rPr>
        <w:t>a</w:t>
      </w:r>
      <w:r w:rsidRPr="00AA5151">
        <w:rPr>
          <w:rFonts w:ascii="Arial" w:hAnsi="Arial" w:cs="Arial"/>
        </w:rPr>
        <w:t xml:space="preserve"> dětí rodí mimo sezdaná soužití</w:t>
      </w:r>
      <w:r w:rsidRPr="00AA5151">
        <w:rPr>
          <w:rFonts w:ascii="Arial" w:hAnsi="Arial" w:cs="Arial"/>
          <w:vertAlign w:val="superscript"/>
        </w:rPr>
        <w:footnoteReference w:id="10"/>
      </w:r>
      <w:r w:rsidR="00FE2980">
        <w:rPr>
          <w:rFonts w:ascii="Arial" w:hAnsi="Arial" w:cs="Arial"/>
        </w:rPr>
        <w:t>).</w:t>
      </w:r>
      <w:r w:rsidRPr="00AA5151">
        <w:rPr>
          <w:rFonts w:ascii="Arial" w:hAnsi="Arial" w:cs="Arial"/>
        </w:rPr>
        <w:t xml:space="preserve"> </w:t>
      </w:r>
      <w:r w:rsidRPr="00AA5151">
        <w:rPr>
          <w:rFonts w:ascii="Arial" w:eastAsia="Times New Roman" w:hAnsi="Arial" w:cs="Arial"/>
        </w:rPr>
        <w:t>V případě RP da</w:t>
      </w:r>
      <w:r w:rsidR="005967E5">
        <w:rPr>
          <w:rFonts w:ascii="Arial" w:eastAsia="Times New Roman" w:hAnsi="Arial" w:cs="Arial"/>
        </w:rPr>
        <w:t>ta ČSÚ ze</w:t>
      </w:r>
      <w:r w:rsidRPr="00AA5151">
        <w:rPr>
          <w:rFonts w:ascii="Arial" w:eastAsia="Times New Roman" w:hAnsi="Arial" w:cs="Arial"/>
        </w:rPr>
        <w:t> Sčítání 2011 hovoří o 46 závislých dětech v domácnostech registrovaných partnerů/partnerek a celkem o 925 dětech žijících v</w:t>
      </w:r>
      <w:r>
        <w:rPr>
          <w:rFonts w:ascii="Arial" w:eastAsia="Times New Roman" w:hAnsi="Arial" w:cs="Arial"/>
        </w:rPr>
        <w:t> </w:t>
      </w:r>
      <w:r w:rsidRPr="00AA5151">
        <w:rPr>
          <w:rFonts w:ascii="Arial" w:eastAsia="Times New Roman" w:hAnsi="Arial" w:cs="Arial"/>
        </w:rPr>
        <w:t xml:space="preserve">domácnostech, které deklarovaly, že jsou vedeny párem stejného pohlaví. </w:t>
      </w:r>
      <w:r w:rsidR="009E4A1C" w:rsidRPr="009E4A1C">
        <w:rPr>
          <w:rFonts w:ascii="Arial" w:eastAsia="Times New Roman" w:hAnsi="Arial" w:cs="Arial"/>
        </w:rPr>
        <w:t xml:space="preserve">Podle dat Ministerstva vnitra měly osoby žijící v RP (v dubnu 2020) 524 dětí, z toho 34 se narodilo po vzniku RP, 206 bylo v době vzniku partnerství nezletilých (1 až 18 let) a dalších 122 do věku 26 let, tedy těch závislých, pokud studují. Potenciálně jde o 362 nezaopatřených dětí. </w:t>
      </w:r>
      <w:r w:rsidRPr="00AA5151">
        <w:rPr>
          <w:rFonts w:ascii="Arial" w:eastAsia="Times New Roman" w:hAnsi="Arial" w:cs="Arial"/>
        </w:rPr>
        <w:t xml:space="preserve"> Ani data ze Sčítání, ani data MV nepostihnou případy sdíleného rodičovství jednoho muže (např. gaye) a ženy (lesbické či </w:t>
      </w:r>
      <w:proofErr w:type="spellStart"/>
      <w:r w:rsidRPr="00AA5151">
        <w:rPr>
          <w:rFonts w:ascii="Arial" w:eastAsia="Times New Roman" w:hAnsi="Arial" w:cs="Arial"/>
        </w:rPr>
        <w:t>hetero</w:t>
      </w:r>
      <w:proofErr w:type="spellEnd"/>
      <w:r w:rsidRPr="00AA5151">
        <w:rPr>
          <w:rFonts w:ascii="Arial" w:eastAsia="Times New Roman" w:hAnsi="Arial" w:cs="Arial"/>
        </w:rPr>
        <w:t xml:space="preserve">), kteří spolu nežijí a kdy ani jeden z nich není v RP či </w:t>
      </w:r>
      <w:r w:rsidR="005967E5">
        <w:rPr>
          <w:rFonts w:ascii="Arial" w:eastAsia="Times New Roman" w:hAnsi="Arial" w:cs="Arial"/>
        </w:rPr>
        <w:t xml:space="preserve">v </w:t>
      </w:r>
      <w:r w:rsidRPr="00AA5151">
        <w:rPr>
          <w:rFonts w:ascii="Arial" w:eastAsia="Times New Roman" w:hAnsi="Arial" w:cs="Arial"/>
        </w:rPr>
        <w:t>domácnosti vedené párem stejného pohlaví.</w:t>
      </w:r>
    </w:p>
    <w:p w14:paraId="56506907" w14:textId="4CEB9382" w:rsidR="00AA5151" w:rsidRPr="00AA5151" w:rsidRDefault="00AA5151" w:rsidP="00AA5151">
      <w:pPr>
        <w:spacing w:line="276" w:lineRule="auto"/>
        <w:ind w:firstLine="720"/>
        <w:jc w:val="both"/>
        <w:rPr>
          <w:rFonts w:ascii="Arial" w:eastAsia="Times New Roman" w:hAnsi="Arial" w:cs="Arial"/>
        </w:rPr>
      </w:pPr>
      <w:r w:rsidRPr="00AA5151">
        <w:rPr>
          <w:rFonts w:ascii="Arial" w:eastAsia="Times New Roman" w:hAnsi="Arial" w:cs="Arial"/>
        </w:rPr>
        <w:t xml:space="preserve">Reálný počet dětí gayů a leseb či párů stejného pohlaví je tedy vyšší nejen z důvodu vysoké míry neviditelnosti – jak pro statistiky, tak i kvůli skrývání se v běžném životě.  </w:t>
      </w:r>
      <w:r w:rsidR="009C5F07">
        <w:rPr>
          <w:rFonts w:ascii="Arial" w:eastAsia="Times New Roman" w:hAnsi="Arial" w:cs="Arial"/>
        </w:rPr>
        <w:t>V</w:t>
      </w:r>
      <w:r w:rsidRPr="00AA5151">
        <w:rPr>
          <w:rFonts w:ascii="Arial" w:eastAsia="Times New Roman" w:hAnsi="Arial" w:cs="Arial"/>
        </w:rPr>
        <w:t>yšší</w:t>
      </w:r>
      <w:r w:rsidR="009C5F07">
        <w:rPr>
          <w:rFonts w:ascii="Arial" w:eastAsia="Times New Roman" w:hAnsi="Arial" w:cs="Arial"/>
        </w:rPr>
        <w:t xml:space="preserve"> je také z důvodu proměny</w:t>
      </w:r>
      <w:r w:rsidRPr="00AA5151">
        <w:rPr>
          <w:rFonts w:ascii="Arial" w:eastAsia="Times New Roman" w:hAnsi="Arial" w:cs="Arial"/>
        </w:rPr>
        <w:t xml:space="preserve"> společensk</w:t>
      </w:r>
      <w:r w:rsidR="009C5F07">
        <w:rPr>
          <w:rFonts w:ascii="Arial" w:eastAsia="Times New Roman" w:hAnsi="Arial" w:cs="Arial"/>
        </w:rPr>
        <w:t>é</w:t>
      </w:r>
      <w:r w:rsidRPr="00AA5151">
        <w:rPr>
          <w:rFonts w:ascii="Arial" w:eastAsia="Times New Roman" w:hAnsi="Arial" w:cs="Arial"/>
        </w:rPr>
        <w:t xml:space="preserve"> situace </w:t>
      </w:r>
      <w:r w:rsidR="009C5F07">
        <w:rPr>
          <w:rFonts w:ascii="Arial" w:eastAsia="Times New Roman" w:hAnsi="Arial" w:cs="Arial"/>
        </w:rPr>
        <w:t xml:space="preserve">po roce 2011, </w:t>
      </w:r>
      <w:r w:rsidRPr="00AA5151">
        <w:rPr>
          <w:rFonts w:ascii="Arial" w:eastAsia="Times New Roman" w:hAnsi="Arial" w:cs="Arial"/>
        </w:rPr>
        <w:t xml:space="preserve">ať už viditelností </w:t>
      </w:r>
      <w:r w:rsidR="009C5F07">
        <w:rPr>
          <w:rFonts w:ascii="Arial" w:eastAsia="Times New Roman" w:hAnsi="Arial" w:cs="Arial"/>
        </w:rPr>
        <w:t xml:space="preserve">homoparentality </w:t>
      </w:r>
      <w:r w:rsidRPr="00AA5151">
        <w:rPr>
          <w:rFonts w:ascii="Arial" w:eastAsia="Times New Roman" w:hAnsi="Arial" w:cs="Arial"/>
        </w:rPr>
        <w:t>mezi lety</w:t>
      </w:r>
      <w:r w:rsidRPr="00AA5151">
        <w:rPr>
          <w:rFonts w:ascii="Arial" w:eastAsia="Times New Roman" w:hAnsi="Arial" w:cs="Arial"/>
          <w:color w:val="000000"/>
        </w:rPr>
        <w:t xml:space="preserve"> 2013 </w:t>
      </w:r>
      <w:r w:rsidRPr="00AA5151">
        <w:rPr>
          <w:rFonts w:ascii="Arial" w:eastAsia="Times New Roman" w:hAnsi="Arial" w:cs="Arial"/>
        </w:rPr>
        <w:t>a</w:t>
      </w:r>
      <w:r w:rsidR="00B06A86">
        <w:rPr>
          <w:rFonts w:ascii="Arial" w:eastAsia="Times New Roman" w:hAnsi="Arial" w:cs="Arial"/>
        </w:rPr>
        <w:t> </w:t>
      </w:r>
      <w:r w:rsidRPr="00AA5151">
        <w:rPr>
          <w:rFonts w:ascii="Arial" w:eastAsia="Times New Roman" w:hAnsi="Arial" w:cs="Arial"/>
          <w:color w:val="000000"/>
        </w:rPr>
        <w:t xml:space="preserve">2017, nebo zrušením zákazu adopce </w:t>
      </w:r>
      <w:r w:rsidRPr="00AA5151">
        <w:rPr>
          <w:rFonts w:ascii="Arial" w:eastAsia="Times New Roman" w:hAnsi="Arial" w:cs="Arial"/>
        </w:rPr>
        <w:t>v RP Ústavním soudem ČR</w:t>
      </w:r>
      <w:r w:rsidR="009C5F07">
        <w:rPr>
          <w:rFonts w:ascii="Arial" w:eastAsia="Times New Roman" w:hAnsi="Arial" w:cs="Arial"/>
        </w:rPr>
        <w:t>. S</w:t>
      </w:r>
      <w:r w:rsidRPr="00AA5151">
        <w:rPr>
          <w:rFonts w:ascii="Arial" w:eastAsia="Times New Roman" w:hAnsi="Arial" w:cs="Arial"/>
        </w:rPr>
        <w:t xml:space="preserve">tále více leseb a gayů </w:t>
      </w:r>
      <w:r w:rsidR="009C5F07">
        <w:rPr>
          <w:rFonts w:ascii="Arial" w:eastAsia="Times New Roman" w:hAnsi="Arial" w:cs="Arial"/>
        </w:rPr>
        <w:t xml:space="preserve">tudíž </w:t>
      </w:r>
      <w:r w:rsidRPr="00AA5151">
        <w:rPr>
          <w:rFonts w:ascii="Arial" w:eastAsia="Times New Roman" w:hAnsi="Arial" w:cs="Arial"/>
        </w:rPr>
        <w:t>uvažuje o tom, že se stanou rodiči, či tuto svou touhu již realizují.</w:t>
      </w:r>
    </w:p>
    <w:p w14:paraId="65DA0250" w14:textId="77777777" w:rsidR="00396911" w:rsidRDefault="00AA5151" w:rsidP="00396911">
      <w:pPr>
        <w:spacing w:line="276" w:lineRule="auto"/>
        <w:ind w:firstLine="720"/>
        <w:jc w:val="both"/>
        <w:rPr>
          <w:rFonts w:ascii="Arial" w:hAnsi="Arial" w:cs="Arial"/>
          <w:color w:val="000000"/>
        </w:rPr>
      </w:pPr>
      <w:r w:rsidRPr="00AA5151">
        <w:rPr>
          <w:rFonts w:ascii="Arial" w:hAnsi="Arial" w:cs="Arial"/>
        </w:rPr>
        <w:t>Z</w:t>
      </w:r>
      <w:r w:rsidR="00761FE7">
        <w:rPr>
          <w:rFonts w:ascii="Arial" w:hAnsi="Arial" w:cs="Arial"/>
        </w:rPr>
        <w:t> </w:t>
      </w:r>
      <w:r w:rsidRPr="00AA5151">
        <w:rPr>
          <w:rFonts w:ascii="Arial" w:hAnsi="Arial" w:cs="Arial"/>
        </w:rPr>
        <w:t>původního</w:t>
      </w:r>
      <w:r w:rsidR="00761FE7">
        <w:rPr>
          <w:rFonts w:ascii="Arial" w:hAnsi="Arial" w:cs="Arial"/>
        </w:rPr>
        <w:t xml:space="preserve"> </w:t>
      </w:r>
      <w:r w:rsidR="00761FE7" w:rsidRPr="00AA5151">
        <w:rPr>
          <w:rFonts w:ascii="Arial" w:hAnsi="Arial" w:cs="Arial"/>
        </w:rPr>
        <w:t>loňského</w:t>
      </w:r>
      <w:r w:rsidRPr="00AA5151">
        <w:rPr>
          <w:rFonts w:ascii="Arial" w:hAnsi="Arial" w:cs="Arial"/>
        </w:rPr>
        <w:t xml:space="preserve"> </w:t>
      </w:r>
      <w:r w:rsidR="00761FE7" w:rsidRPr="00AA5151">
        <w:rPr>
          <w:rFonts w:ascii="Arial" w:hAnsi="Arial" w:cs="Arial"/>
        </w:rPr>
        <w:t xml:space="preserve">online </w:t>
      </w:r>
      <w:r w:rsidRPr="00AA5151">
        <w:rPr>
          <w:rFonts w:ascii="Arial" w:hAnsi="Arial" w:cs="Arial"/>
        </w:rPr>
        <w:t xml:space="preserve">výzkumu Sociologického ústavu AV ČR na reprezentativním vzorku české populace také vyplývá, že rozdíly </w:t>
      </w:r>
      <w:r w:rsidR="002D76DA">
        <w:rPr>
          <w:rFonts w:ascii="Arial" w:hAnsi="Arial" w:cs="Arial"/>
        </w:rPr>
        <w:t xml:space="preserve">založené na </w:t>
      </w:r>
      <w:r w:rsidRPr="00AA5151">
        <w:rPr>
          <w:rFonts w:ascii="Arial" w:hAnsi="Arial" w:cs="Arial"/>
        </w:rPr>
        <w:t>sexuální orientac</w:t>
      </w:r>
      <w:r w:rsidR="002D76DA">
        <w:rPr>
          <w:rFonts w:ascii="Arial" w:hAnsi="Arial" w:cs="Arial"/>
        </w:rPr>
        <w:t>i</w:t>
      </w:r>
      <w:r w:rsidRPr="00AA5151">
        <w:rPr>
          <w:rFonts w:ascii="Arial" w:hAnsi="Arial" w:cs="Arial"/>
        </w:rPr>
        <w:t xml:space="preserve"> jsou statisticky významné </w:t>
      </w:r>
      <w:r w:rsidR="002D76DA">
        <w:rPr>
          <w:rFonts w:ascii="Arial" w:hAnsi="Arial" w:cs="Arial"/>
        </w:rPr>
        <w:t>mezi ženami i muži</w:t>
      </w:r>
      <w:r w:rsidRPr="00AA5151">
        <w:rPr>
          <w:rFonts w:ascii="Arial" w:hAnsi="Arial" w:cs="Arial"/>
        </w:rPr>
        <w:t>. Rodičovství je uváděno poměrně často osobami s bisexuální identitou (45 % mužů a 69 % žen) a méně často pak ženami (24 %), a zvláště pak muži (8 %) s homosexuální identitou. Řada respondentů tohoto výzkumu uvedla, že žije se svými dětmi ve společné domácnosti, nebo že s nimi jejich děti pobývají ve společné domácnosti občas. „</w:t>
      </w:r>
      <w:r w:rsidRPr="00396911">
        <w:rPr>
          <w:rFonts w:ascii="Arial" w:hAnsi="Arial" w:cs="Arial"/>
          <w:i/>
        </w:rPr>
        <w:t>Podle dat z našeho šetření jde primárně o děti počaté v dřívějším heterosexuálním vztahu. Reálný počet rodičů v našem vzorku je tedy poměrně nízký</w:t>
      </w:r>
      <w:r w:rsidR="002D76DA">
        <w:rPr>
          <w:rFonts w:ascii="Arial" w:hAnsi="Arial" w:cs="Arial"/>
          <w:i/>
        </w:rPr>
        <w:t>, n</w:t>
      </w:r>
      <w:r w:rsidRPr="00396911">
        <w:rPr>
          <w:rFonts w:ascii="Arial" w:hAnsi="Arial" w:cs="Arial"/>
          <w:i/>
        </w:rPr>
        <w:t>icméně ukazuje, že v situaci, kdy tomu brání řada bariér, takové rodiny v českém prostředí žijí.</w:t>
      </w:r>
      <w:r w:rsidR="002D76DA">
        <w:rPr>
          <w:rFonts w:ascii="Arial" w:hAnsi="Arial" w:cs="Arial"/>
          <w:i/>
        </w:rPr>
        <w:t xml:space="preserve"> </w:t>
      </w:r>
      <w:r w:rsidRPr="00396911">
        <w:rPr>
          <w:rFonts w:ascii="Arial" w:hAnsi="Arial" w:cs="Arial"/>
          <w:i/>
        </w:rPr>
        <w:t xml:space="preserve">Tabu a legislativní vzduchoprázdno, které kolem homoparentality v Česku existuje, přitom stabilitě a životnímu </w:t>
      </w:r>
      <w:proofErr w:type="spellStart"/>
      <w:r w:rsidRPr="00396911">
        <w:rPr>
          <w:rFonts w:ascii="Arial" w:hAnsi="Arial" w:cs="Arial"/>
          <w:i/>
        </w:rPr>
        <w:t>well-beingu</w:t>
      </w:r>
      <w:proofErr w:type="spellEnd"/>
      <w:r w:rsidRPr="00396911">
        <w:rPr>
          <w:rFonts w:ascii="Arial" w:hAnsi="Arial" w:cs="Arial"/>
          <w:i/>
        </w:rPr>
        <w:t xml:space="preserve"> těchto lidí jistě nepřispívá,“ </w:t>
      </w:r>
      <w:r w:rsidRPr="00AA5151">
        <w:rPr>
          <w:rFonts w:ascii="Arial" w:hAnsi="Arial" w:cs="Arial"/>
        </w:rPr>
        <w:t>uv</w:t>
      </w:r>
      <w:r w:rsidR="002D76DA">
        <w:rPr>
          <w:rFonts w:ascii="Arial" w:hAnsi="Arial" w:cs="Arial"/>
        </w:rPr>
        <w:t>ádí</w:t>
      </w:r>
      <w:r w:rsidRPr="00AA5151">
        <w:rPr>
          <w:rFonts w:ascii="Arial" w:hAnsi="Arial" w:cs="Arial"/>
        </w:rPr>
        <w:t xml:space="preserve"> socioložka Marta </w:t>
      </w:r>
      <w:proofErr w:type="spellStart"/>
      <w:r w:rsidRPr="00AA5151">
        <w:rPr>
          <w:rFonts w:ascii="Arial" w:hAnsi="Arial" w:cs="Arial"/>
        </w:rPr>
        <w:t>Vohlídalová</w:t>
      </w:r>
      <w:proofErr w:type="spellEnd"/>
      <w:r w:rsidRPr="00AA5151">
        <w:rPr>
          <w:rFonts w:ascii="Arial" w:hAnsi="Arial" w:cs="Arial"/>
        </w:rPr>
        <w:t xml:space="preserve"> ze SOU AV ČR.</w:t>
      </w:r>
    </w:p>
    <w:p w14:paraId="7797AFEB" w14:textId="77777777" w:rsidR="003D1AD7" w:rsidRDefault="003D1AD7" w:rsidP="00396911">
      <w:pPr>
        <w:spacing w:line="276" w:lineRule="auto"/>
        <w:jc w:val="both"/>
        <w:rPr>
          <w:rFonts w:ascii="Arial" w:hAnsi="Arial" w:cs="Arial"/>
          <w:b/>
          <w:sz w:val="24"/>
        </w:rPr>
      </w:pPr>
    </w:p>
    <w:p w14:paraId="341B1878" w14:textId="6F62C81E" w:rsidR="00BE1D9D" w:rsidRDefault="0062236B" w:rsidP="00396911">
      <w:pPr>
        <w:spacing w:line="276" w:lineRule="auto"/>
        <w:jc w:val="both"/>
        <w:rPr>
          <w:rFonts w:ascii="Arial" w:hAnsi="Arial" w:cs="Arial"/>
          <w:b/>
        </w:rPr>
      </w:pPr>
      <w:r w:rsidRPr="0062236B">
        <w:rPr>
          <w:rFonts w:ascii="Arial" w:hAnsi="Arial" w:cs="Arial"/>
          <w:b/>
          <w:sz w:val="24"/>
        </w:rPr>
        <w:t>Kontakt</w:t>
      </w:r>
      <w:bookmarkStart w:id="2" w:name="_GoBack"/>
      <w:bookmarkEnd w:id="2"/>
    </w:p>
    <w:p w14:paraId="6934E736" w14:textId="77777777" w:rsidR="00BE1D9D" w:rsidRDefault="001A7BC1" w:rsidP="00BE1D9D">
      <w:pPr>
        <w:spacing w:after="0" w:line="240" w:lineRule="auto"/>
        <w:jc w:val="both"/>
        <w:rPr>
          <w:rFonts w:ascii="Arial" w:hAnsi="Arial" w:cs="Arial"/>
          <w:b/>
        </w:rPr>
      </w:pPr>
      <w:r w:rsidRPr="00396911">
        <w:rPr>
          <w:rFonts w:ascii="Arial" w:hAnsi="Arial" w:cs="Arial"/>
          <w:b/>
        </w:rPr>
        <w:t>Mgr. Zdeněk Sloboda</w:t>
      </w:r>
    </w:p>
    <w:p w14:paraId="1A20B121" w14:textId="2C8D1AD9" w:rsidR="00BE1D9D" w:rsidRDefault="00BE1D9D" w:rsidP="00BE1D9D">
      <w:pPr>
        <w:spacing w:after="0" w:line="240" w:lineRule="auto"/>
        <w:jc w:val="both"/>
        <w:rPr>
          <w:rFonts w:ascii="Arial" w:hAnsi="Arial" w:cs="Arial"/>
        </w:rPr>
      </w:pPr>
      <w:r w:rsidRPr="00BE1D9D">
        <w:rPr>
          <w:rFonts w:ascii="Arial" w:hAnsi="Arial" w:cs="Arial"/>
        </w:rPr>
        <w:t>T</w:t>
      </w:r>
      <w:r>
        <w:rPr>
          <w:rFonts w:ascii="Arial" w:hAnsi="Arial" w:cs="Arial"/>
        </w:rPr>
        <w:t>el.: 608 831 862</w:t>
      </w:r>
    </w:p>
    <w:p w14:paraId="36271C5A" w14:textId="77777777" w:rsidR="00BE1D9D" w:rsidRDefault="00BE1D9D" w:rsidP="00BE1D9D">
      <w:pPr>
        <w:spacing w:after="0" w:line="240" w:lineRule="auto"/>
        <w:jc w:val="both"/>
        <w:rPr>
          <w:rStyle w:val="Hypertextovodkaz"/>
          <w:rFonts w:ascii="Arial" w:hAnsi="Arial" w:cs="Arial"/>
          <w:color w:val="000000" w:themeColor="text1"/>
        </w:rPr>
      </w:pPr>
      <w:r>
        <w:rPr>
          <w:rFonts w:ascii="Arial" w:hAnsi="Arial" w:cs="Arial"/>
        </w:rPr>
        <w:t>E</w:t>
      </w:r>
      <w:r w:rsidR="0062236B" w:rsidRPr="0062236B">
        <w:rPr>
          <w:rFonts w:ascii="Arial" w:hAnsi="Arial" w:cs="Arial"/>
        </w:rPr>
        <w:t xml:space="preserve">-mail: </w:t>
      </w:r>
      <w:hyperlink r:id="rId18" w:history="1">
        <w:r w:rsidR="00825BA3" w:rsidRPr="00396911">
          <w:rPr>
            <w:rStyle w:val="Hypertextovodkaz"/>
            <w:rFonts w:ascii="Arial" w:hAnsi="Arial" w:cs="Arial"/>
            <w:color w:val="000000" w:themeColor="text1"/>
          </w:rPr>
          <w:t>zdenek.sloboda@soc.cas.cz</w:t>
        </w:r>
      </w:hyperlink>
    </w:p>
    <w:p w14:paraId="1144CA0D" w14:textId="13639CC8" w:rsidR="00A875F3" w:rsidRPr="00BE1D9D" w:rsidRDefault="00BE1D9D" w:rsidP="00BE1D9D">
      <w:pPr>
        <w:spacing w:after="0" w:line="240" w:lineRule="auto"/>
        <w:jc w:val="both"/>
        <w:rPr>
          <w:rFonts w:ascii="Arial" w:hAnsi="Arial" w:cs="Arial"/>
        </w:rPr>
      </w:pPr>
      <w:r w:rsidRPr="00BE1D9D">
        <w:rPr>
          <w:rStyle w:val="Hypertextovodkaz"/>
          <w:rFonts w:ascii="Arial" w:hAnsi="Arial" w:cs="Arial"/>
          <w:color w:val="000000" w:themeColor="text1"/>
          <w:u w:val="none"/>
        </w:rPr>
        <w:t xml:space="preserve">Web: </w:t>
      </w:r>
      <w:hyperlink r:id="rId19" w:history="1">
        <w:r w:rsidR="00AA5151" w:rsidRPr="001A7BC1">
          <w:rPr>
            <w:rStyle w:val="Hypertextovodkaz"/>
            <w:rFonts w:ascii="Arial" w:hAnsi="Arial" w:cs="Arial"/>
            <w:color w:val="000000" w:themeColor="text1"/>
          </w:rPr>
          <w:t>homoparentalita.soc.cas.cz</w:t>
        </w:r>
      </w:hyperlink>
    </w:p>
    <w:sectPr w:rsidR="00A875F3" w:rsidRPr="00BE1D9D" w:rsidSect="0062236B">
      <w:headerReference w:type="default" r:id="rId20"/>
      <w:footerReference w:type="default" r:id="rId21"/>
      <w:pgSz w:w="11906" w:h="16838"/>
      <w:pgMar w:top="2268" w:right="1134" w:bottom="1418"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3118" w14:textId="77777777" w:rsidR="00901BB0" w:rsidRDefault="00901BB0" w:rsidP="00B526FA">
      <w:pPr>
        <w:spacing w:after="0" w:line="240" w:lineRule="auto"/>
      </w:pPr>
      <w:r>
        <w:separator/>
      </w:r>
    </w:p>
  </w:endnote>
  <w:endnote w:type="continuationSeparator" w:id="0">
    <w:p w14:paraId="4050C66E" w14:textId="77777777" w:rsidR="00901BB0" w:rsidRDefault="00901BB0" w:rsidP="00B5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2900"/>
      <w:gridCol w:w="2892"/>
    </w:tblGrid>
    <w:tr w:rsidR="00346C0E" w:rsidRPr="0026504F" w14:paraId="27855299" w14:textId="77777777" w:rsidTr="0026504F">
      <w:trPr>
        <w:trHeight w:val="851"/>
      </w:trPr>
      <w:tc>
        <w:tcPr>
          <w:tcW w:w="3280" w:type="dxa"/>
        </w:tcPr>
        <w:p w14:paraId="181BD27F" w14:textId="77777777" w:rsidR="001360AD" w:rsidRPr="0026504F" w:rsidRDefault="001360AD" w:rsidP="001360AD">
          <w:pPr>
            <w:rPr>
              <w:rFonts w:ascii="Arial" w:hAnsi="Arial" w:cs="Arial"/>
              <w:color w:val="0072B6"/>
              <w:sz w:val="20"/>
              <w:szCs w:val="20"/>
            </w:rPr>
          </w:pPr>
          <w:r w:rsidRPr="0026504F">
            <w:rPr>
              <w:rFonts w:ascii="Arial" w:hAnsi="Arial" w:cs="Arial"/>
              <w:color w:val="0072B6"/>
              <w:sz w:val="20"/>
              <w:szCs w:val="20"/>
            </w:rPr>
            <w:t>Sociologický ústav AV ČR, v.</w:t>
          </w:r>
          <w:r w:rsidR="008A5034">
            <w:rPr>
              <w:rFonts w:ascii="Arial" w:hAnsi="Arial" w:cs="Arial"/>
              <w:color w:val="0072B6"/>
              <w:sz w:val="20"/>
              <w:szCs w:val="20"/>
            </w:rPr>
            <w:t xml:space="preserve"> </w:t>
          </w:r>
          <w:r w:rsidRPr="0026504F">
            <w:rPr>
              <w:rFonts w:ascii="Arial" w:hAnsi="Arial" w:cs="Arial"/>
              <w:color w:val="0072B6"/>
              <w:sz w:val="20"/>
              <w:szCs w:val="20"/>
            </w:rPr>
            <w:t>v.</w:t>
          </w:r>
          <w:r w:rsidR="008A5034">
            <w:rPr>
              <w:rFonts w:ascii="Arial" w:hAnsi="Arial" w:cs="Arial"/>
              <w:color w:val="0072B6"/>
              <w:sz w:val="20"/>
              <w:szCs w:val="20"/>
            </w:rPr>
            <w:t xml:space="preserve"> </w:t>
          </w:r>
          <w:r w:rsidRPr="0026504F">
            <w:rPr>
              <w:rFonts w:ascii="Arial" w:hAnsi="Arial" w:cs="Arial"/>
              <w:color w:val="0072B6"/>
              <w:sz w:val="20"/>
              <w:szCs w:val="20"/>
            </w:rPr>
            <w:t>i.</w:t>
          </w:r>
        </w:p>
        <w:p w14:paraId="7E6712F2" w14:textId="77777777" w:rsidR="001360AD" w:rsidRDefault="001360AD" w:rsidP="00346C0E">
          <w:pPr>
            <w:rPr>
              <w:rFonts w:ascii="Arial" w:hAnsi="Arial" w:cs="Arial"/>
              <w:color w:val="0072B6"/>
              <w:sz w:val="20"/>
              <w:szCs w:val="20"/>
            </w:rPr>
          </w:pPr>
          <w:r>
            <w:rPr>
              <w:rFonts w:ascii="Arial" w:hAnsi="Arial" w:cs="Arial"/>
              <w:color w:val="0072B6"/>
              <w:sz w:val="20"/>
              <w:szCs w:val="20"/>
            </w:rPr>
            <w:t>Tiskové a ediční oddělení</w:t>
          </w:r>
        </w:p>
        <w:p w14:paraId="534ED2B0" w14:textId="77777777" w:rsidR="00346C0E" w:rsidRPr="0026504F" w:rsidRDefault="00346C0E" w:rsidP="00346C0E">
          <w:pPr>
            <w:rPr>
              <w:rFonts w:ascii="Arial" w:hAnsi="Arial" w:cs="Arial"/>
              <w:color w:val="0072B6"/>
              <w:sz w:val="20"/>
              <w:szCs w:val="20"/>
            </w:rPr>
          </w:pPr>
          <w:r w:rsidRPr="0026504F">
            <w:rPr>
              <w:rFonts w:ascii="Arial" w:hAnsi="Arial" w:cs="Arial"/>
              <w:color w:val="0072B6"/>
              <w:sz w:val="20"/>
              <w:szCs w:val="20"/>
            </w:rPr>
            <w:t xml:space="preserve">Jilská </w:t>
          </w:r>
          <w:r w:rsidR="008A5034">
            <w:rPr>
              <w:rFonts w:ascii="Arial" w:hAnsi="Arial" w:cs="Arial"/>
              <w:color w:val="0072B6"/>
              <w:sz w:val="20"/>
              <w:szCs w:val="20"/>
            </w:rPr>
            <w:t>361/</w:t>
          </w:r>
          <w:r w:rsidRPr="0026504F">
            <w:rPr>
              <w:rFonts w:ascii="Arial" w:hAnsi="Arial" w:cs="Arial"/>
              <w:color w:val="0072B6"/>
              <w:sz w:val="20"/>
              <w:szCs w:val="20"/>
            </w:rPr>
            <w:t>1, 110 00 Praha 1</w:t>
          </w:r>
        </w:p>
        <w:p w14:paraId="11F57EAF" w14:textId="77777777" w:rsidR="00346C0E" w:rsidRPr="0026504F" w:rsidRDefault="00346C0E" w:rsidP="0050051C">
          <w:pPr>
            <w:rPr>
              <w:rFonts w:ascii="Arial" w:hAnsi="Arial" w:cs="Arial"/>
              <w:color w:val="0072B6"/>
              <w:sz w:val="20"/>
              <w:szCs w:val="20"/>
            </w:rPr>
          </w:pPr>
          <w:r w:rsidRPr="0026504F">
            <w:rPr>
              <w:rFonts w:ascii="Arial" w:hAnsi="Arial" w:cs="Arial"/>
              <w:color w:val="0072B6"/>
              <w:sz w:val="20"/>
              <w:szCs w:val="20"/>
            </w:rPr>
            <w:t>IČ: 68378025</w:t>
          </w:r>
          <w:r w:rsidR="0050051C" w:rsidRPr="0026504F">
            <w:rPr>
              <w:rFonts w:ascii="Arial" w:hAnsi="Arial" w:cs="Arial"/>
              <w:color w:val="0072B6"/>
              <w:sz w:val="20"/>
              <w:szCs w:val="20"/>
            </w:rPr>
            <w:t xml:space="preserve"> DIČ: CZ68378025</w:t>
          </w:r>
        </w:p>
      </w:tc>
      <w:tc>
        <w:tcPr>
          <w:tcW w:w="2900" w:type="dxa"/>
        </w:tcPr>
        <w:p w14:paraId="1209C3C3" w14:textId="77777777" w:rsidR="00346C0E" w:rsidRPr="0026504F" w:rsidRDefault="00346C0E" w:rsidP="001360AD">
          <w:pPr>
            <w:rPr>
              <w:rFonts w:ascii="Arial" w:hAnsi="Arial" w:cs="Arial"/>
              <w:color w:val="0072B6"/>
              <w:sz w:val="20"/>
              <w:szCs w:val="20"/>
            </w:rPr>
          </w:pPr>
          <w:r w:rsidRPr="0026504F">
            <w:rPr>
              <w:rFonts w:ascii="Arial" w:hAnsi="Arial" w:cs="Arial"/>
              <w:color w:val="0072B6"/>
              <w:sz w:val="20"/>
              <w:szCs w:val="20"/>
            </w:rPr>
            <w:t xml:space="preserve">T: +420 210 310 </w:t>
          </w:r>
          <w:r w:rsidR="001360AD">
            <w:rPr>
              <w:rFonts w:ascii="Arial" w:hAnsi="Arial" w:cs="Arial"/>
              <w:color w:val="0072B6"/>
              <w:sz w:val="20"/>
              <w:szCs w:val="20"/>
            </w:rPr>
            <w:t>596</w:t>
          </w:r>
          <w:r w:rsidRPr="0026504F">
            <w:rPr>
              <w:rFonts w:ascii="Arial" w:hAnsi="Arial" w:cs="Arial"/>
              <w:color w:val="0072B6"/>
              <w:sz w:val="20"/>
              <w:szCs w:val="20"/>
            </w:rPr>
            <w:t xml:space="preserve"> </w:t>
          </w:r>
          <w:r w:rsidRPr="0026504F">
            <w:rPr>
              <w:rFonts w:ascii="Arial" w:hAnsi="Arial" w:cs="Arial"/>
              <w:color w:val="0072B6"/>
              <w:sz w:val="20"/>
              <w:szCs w:val="20"/>
            </w:rPr>
            <w:br/>
            <w:t xml:space="preserve">E: </w:t>
          </w:r>
          <w:r w:rsidR="001360AD">
            <w:rPr>
              <w:rFonts w:ascii="Arial" w:hAnsi="Arial" w:cs="Arial"/>
              <w:color w:val="0072B6"/>
              <w:sz w:val="20"/>
              <w:szCs w:val="20"/>
            </w:rPr>
            <w:t>tiskove</w:t>
          </w:r>
          <w:r w:rsidRPr="0026504F">
            <w:rPr>
              <w:rFonts w:ascii="Arial" w:hAnsi="Arial" w:cs="Arial"/>
              <w:color w:val="0072B6"/>
              <w:sz w:val="20"/>
              <w:szCs w:val="20"/>
            </w:rPr>
            <w:t>@soc.cas.cz</w:t>
          </w:r>
        </w:p>
      </w:tc>
      <w:tc>
        <w:tcPr>
          <w:tcW w:w="2892" w:type="dxa"/>
        </w:tcPr>
        <w:sdt>
          <w:sdtPr>
            <w:rPr>
              <w:rFonts w:ascii="Arial" w:hAnsi="Arial" w:cs="Arial"/>
              <w:color w:val="0072B6"/>
              <w:sz w:val="20"/>
              <w:szCs w:val="20"/>
            </w:rPr>
            <w:id w:val="-36894730"/>
            <w:docPartObj>
              <w:docPartGallery w:val="Page Numbers (Bottom of Page)"/>
              <w:docPartUnique/>
            </w:docPartObj>
          </w:sdtPr>
          <w:sdtEndPr/>
          <w:sdtContent>
            <w:sdt>
              <w:sdtPr>
                <w:rPr>
                  <w:rFonts w:ascii="Arial" w:hAnsi="Arial" w:cs="Arial"/>
                  <w:color w:val="0072B6"/>
                  <w:sz w:val="20"/>
                  <w:szCs w:val="20"/>
                </w:rPr>
                <w:id w:val="-1170871252"/>
                <w:docPartObj>
                  <w:docPartGallery w:val="Page Numbers (Top of Page)"/>
                  <w:docPartUnique/>
                </w:docPartObj>
              </w:sdtPr>
              <w:sdtEndPr/>
              <w:sdtContent>
                <w:p w14:paraId="1BA7CE8F" w14:textId="77777777" w:rsidR="0026504F" w:rsidRDefault="0026504F" w:rsidP="00346C0E">
                  <w:pPr>
                    <w:pStyle w:val="Zpat"/>
                    <w:jc w:val="right"/>
                    <w:rPr>
                      <w:rFonts w:ascii="Arial" w:hAnsi="Arial" w:cs="Arial"/>
                      <w:color w:val="0072B6"/>
                      <w:sz w:val="20"/>
                      <w:szCs w:val="20"/>
                    </w:rPr>
                  </w:pPr>
                </w:p>
                <w:p w14:paraId="0FABF8B4" w14:textId="338397CA" w:rsidR="00346C0E" w:rsidRPr="0026504F" w:rsidRDefault="00346C0E" w:rsidP="00346C0E">
                  <w:pPr>
                    <w:pStyle w:val="Zpat"/>
                    <w:jc w:val="right"/>
                    <w:rPr>
                      <w:rFonts w:ascii="Arial" w:hAnsi="Arial" w:cs="Arial"/>
                      <w:color w:val="0072B6"/>
                      <w:sz w:val="20"/>
                      <w:szCs w:val="20"/>
                    </w:rPr>
                  </w:pPr>
                  <w:r w:rsidRPr="0026504F">
                    <w:rPr>
                      <w:rFonts w:ascii="Arial" w:hAnsi="Arial" w:cs="Arial"/>
                      <w:color w:val="0072B6"/>
                      <w:sz w:val="20"/>
                      <w:szCs w:val="20"/>
                    </w:rPr>
                    <w:t xml:space="preserve">Strana </w:t>
                  </w:r>
                  <w:r w:rsidRPr="0026504F">
                    <w:rPr>
                      <w:rFonts w:ascii="Arial" w:hAnsi="Arial" w:cs="Arial"/>
                      <w:b/>
                      <w:bCs/>
                      <w:color w:val="0072B6"/>
                      <w:sz w:val="20"/>
                      <w:szCs w:val="20"/>
                    </w:rPr>
                    <w:fldChar w:fldCharType="begin"/>
                  </w:r>
                  <w:r w:rsidRPr="0026504F">
                    <w:rPr>
                      <w:rFonts w:ascii="Arial" w:hAnsi="Arial" w:cs="Arial"/>
                      <w:b/>
                      <w:bCs/>
                      <w:color w:val="0072B6"/>
                      <w:sz w:val="20"/>
                      <w:szCs w:val="20"/>
                    </w:rPr>
                    <w:instrText>PAGE</w:instrText>
                  </w:r>
                  <w:r w:rsidRPr="0026504F">
                    <w:rPr>
                      <w:rFonts w:ascii="Arial" w:hAnsi="Arial" w:cs="Arial"/>
                      <w:b/>
                      <w:bCs/>
                      <w:color w:val="0072B6"/>
                      <w:sz w:val="20"/>
                      <w:szCs w:val="20"/>
                    </w:rPr>
                    <w:fldChar w:fldCharType="separate"/>
                  </w:r>
                  <w:r w:rsidR="009E4A1C">
                    <w:rPr>
                      <w:rFonts w:ascii="Arial" w:hAnsi="Arial" w:cs="Arial"/>
                      <w:b/>
                      <w:bCs/>
                      <w:noProof/>
                      <w:color w:val="0072B6"/>
                      <w:sz w:val="20"/>
                      <w:szCs w:val="20"/>
                    </w:rPr>
                    <w:t>9</w:t>
                  </w:r>
                  <w:r w:rsidRPr="0026504F">
                    <w:rPr>
                      <w:rFonts w:ascii="Arial" w:hAnsi="Arial" w:cs="Arial"/>
                      <w:b/>
                      <w:bCs/>
                      <w:color w:val="0072B6"/>
                      <w:sz w:val="20"/>
                      <w:szCs w:val="20"/>
                    </w:rPr>
                    <w:fldChar w:fldCharType="end"/>
                  </w:r>
                  <w:r w:rsidR="008147C7" w:rsidRPr="0026504F">
                    <w:rPr>
                      <w:rFonts w:ascii="Arial" w:hAnsi="Arial" w:cs="Arial"/>
                      <w:color w:val="0072B6"/>
                      <w:sz w:val="20"/>
                      <w:szCs w:val="20"/>
                    </w:rPr>
                    <w:t>/</w:t>
                  </w:r>
                  <w:r w:rsidRPr="0026504F">
                    <w:rPr>
                      <w:rFonts w:ascii="Arial" w:hAnsi="Arial" w:cs="Arial"/>
                      <w:b/>
                      <w:bCs/>
                      <w:color w:val="0072B6"/>
                      <w:sz w:val="20"/>
                      <w:szCs w:val="20"/>
                    </w:rPr>
                    <w:fldChar w:fldCharType="begin"/>
                  </w:r>
                  <w:r w:rsidRPr="0026504F">
                    <w:rPr>
                      <w:rFonts w:ascii="Arial" w:hAnsi="Arial" w:cs="Arial"/>
                      <w:b/>
                      <w:bCs/>
                      <w:color w:val="0072B6"/>
                      <w:sz w:val="20"/>
                      <w:szCs w:val="20"/>
                    </w:rPr>
                    <w:instrText>NUMPAGES</w:instrText>
                  </w:r>
                  <w:r w:rsidRPr="0026504F">
                    <w:rPr>
                      <w:rFonts w:ascii="Arial" w:hAnsi="Arial" w:cs="Arial"/>
                      <w:b/>
                      <w:bCs/>
                      <w:color w:val="0072B6"/>
                      <w:sz w:val="20"/>
                      <w:szCs w:val="20"/>
                    </w:rPr>
                    <w:fldChar w:fldCharType="separate"/>
                  </w:r>
                  <w:r w:rsidR="009E4A1C">
                    <w:rPr>
                      <w:rFonts w:ascii="Arial" w:hAnsi="Arial" w:cs="Arial"/>
                      <w:b/>
                      <w:bCs/>
                      <w:noProof/>
                      <w:color w:val="0072B6"/>
                      <w:sz w:val="20"/>
                      <w:szCs w:val="20"/>
                    </w:rPr>
                    <w:t>9</w:t>
                  </w:r>
                  <w:r w:rsidRPr="0026504F">
                    <w:rPr>
                      <w:rFonts w:ascii="Arial" w:hAnsi="Arial" w:cs="Arial"/>
                      <w:b/>
                      <w:bCs/>
                      <w:color w:val="0072B6"/>
                      <w:sz w:val="20"/>
                      <w:szCs w:val="20"/>
                    </w:rPr>
                    <w:fldChar w:fldCharType="end"/>
                  </w:r>
                </w:p>
              </w:sdtContent>
            </w:sdt>
          </w:sdtContent>
        </w:sdt>
        <w:p w14:paraId="5370C012" w14:textId="77777777" w:rsidR="00346C0E" w:rsidRPr="0026504F" w:rsidRDefault="00346C0E" w:rsidP="00B526FA">
          <w:pPr>
            <w:rPr>
              <w:rFonts w:ascii="Arial" w:hAnsi="Arial" w:cs="Arial"/>
              <w:color w:val="0072B6"/>
              <w:sz w:val="20"/>
              <w:szCs w:val="20"/>
            </w:rPr>
          </w:pPr>
        </w:p>
      </w:tc>
    </w:tr>
  </w:tbl>
  <w:p w14:paraId="40BE8C2D" w14:textId="77777777" w:rsidR="00B526FA" w:rsidRPr="0026504F" w:rsidRDefault="00AA5151">
    <w:pPr>
      <w:pStyle w:val="Zpat"/>
      <w:rPr>
        <w:rFonts w:ascii="Arial" w:hAnsi="Arial" w:cs="Arial"/>
        <w:sz w:val="20"/>
        <w:szCs w:val="20"/>
      </w:rPr>
    </w:pPr>
    <w:r>
      <w:rPr>
        <w:noProof/>
        <w:lang w:eastAsia="cs-CZ"/>
      </w:rPr>
      <w:drawing>
        <wp:anchor distT="0" distB="0" distL="114300" distR="114300" simplePos="0" relativeHeight="251659264" behindDoc="1" locked="0" layoutInCell="1" allowOverlap="1" wp14:anchorId="38059A8A" wp14:editId="0ADFD3C5">
          <wp:simplePos x="0" y="0"/>
          <wp:positionH relativeFrom="column">
            <wp:posOffset>2062480</wp:posOffset>
          </wp:positionH>
          <wp:positionV relativeFrom="paragraph">
            <wp:posOffset>-749300</wp:posOffset>
          </wp:positionV>
          <wp:extent cx="4225925" cy="1054735"/>
          <wp:effectExtent l="0" t="0" r="3175" b="0"/>
          <wp:wrapNone/>
          <wp:docPr id="1" name="Obrázek 1" descr="vek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kto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925" cy="10547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E66BD" w14:textId="77777777" w:rsidR="00901BB0" w:rsidRDefault="00901BB0" w:rsidP="00B526FA">
      <w:pPr>
        <w:spacing w:after="0" w:line="240" w:lineRule="auto"/>
      </w:pPr>
      <w:r>
        <w:separator/>
      </w:r>
    </w:p>
  </w:footnote>
  <w:footnote w:type="continuationSeparator" w:id="0">
    <w:p w14:paraId="4DD45BBE" w14:textId="77777777" w:rsidR="00901BB0" w:rsidRDefault="00901BB0" w:rsidP="00B526FA">
      <w:pPr>
        <w:spacing w:after="0" w:line="240" w:lineRule="auto"/>
      </w:pPr>
      <w:r>
        <w:continuationSeparator/>
      </w:r>
    </w:p>
  </w:footnote>
  <w:footnote w:id="1">
    <w:p w14:paraId="75E0F2DC" w14:textId="77777777" w:rsidR="00AA5151" w:rsidRPr="00AA5151" w:rsidRDefault="00AA5151" w:rsidP="00825BA3">
      <w:pPr>
        <w:rPr>
          <w:rFonts w:ascii="Arial" w:hAnsi="Arial" w:cs="Arial"/>
          <w:sz w:val="20"/>
          <w:szCs w:val="20"/>
        </w:rPr>
      </w:pPr>
      <w:r w:rsidRPr="00AA5151">
        <w:rPr>
          <w:rFonts w:ascii="Arial" w:hAnsi="Arial" w:cs="Arial"/>
          <w:vertAlign w:val="superscript"/>
        </w:rPr>
        <w:footnoteRef/>
      </w:r>
      <w:r w:rsidRPr="00AA5151">
        <w:rPr>
          <w:rFonts w:ascii="Arial" w:hAnsi="Arial" w:cs="Arial"/>
          <w:sz w:val="20"/>
          <w:szCs w:val="20"/>
        </w:rPr>
        <w:t xml:space="preserve"> Viz například vyjmenování rozdílů mezi RP a manželstvím (je jich až 100) podle organizace Jsme fér! </w:t>
      </w:r>
      <w:r w:rsidRPr="00AA5151">
        <w:rPr>
          <w:rFonts w:ascii="Arial" w:hAnsi="Arial" w:cs="Arial"/>
        </w:rPr>
        <w:t>–</w:t>
      </w:r>
      <w:r w:rsidRPr="00AA5151">
        <w:rPr>
          <w:rFonts w:ascii="Arial" w:hAnsi="Arial" w:cs="Arial"/>
          <w:sz w:val="20"/>
          <w:szCs w:val="20"/>
        </w:rPr>
        <w:t xml:space="preserve"> </w:t>
      </w:r>
      <w:hyperlink r:id="rId1" w:history="1">
        <w:r w:rsidRPr="00AA5151">
          <w:rPr>
            <w:rStyle w:val="Hypertextovodkaz"/>
            <w:rFonts w:ascii="Arial" w:hAnsi="Arial" w:cs="Arial"/>
            <w:color w:val="000000" w:themeColor="text1"/>
            <w:sz w:val="20"/>
            <w:szCs w:val="20"/>
          </w:rPr>
          <w:t>www.jsmefer.cz/rozdily</w:t>
        </w:r>
      </w:hyperlink>
      <w:r w:rsidRPr="00AA5151">
        <w:rPr>
          <w:rFonts w:ascii="Arial" w:hAnsi="Arial" w:cs="Arial"/>
          <w:sz w:val="20"/>
          <w:szCs w:val="20"/>
        </w:rPr>
        <w:t xml:space="preserve">. Vztah společnosti k RP a stejnopohlavním párům viz výzkum CVVM z března 2020 </w:t>
      </w:r>
      <w:r w:rsidRPr="00AA5151">
        <w:rPr>
          <w:rFonts w:ascii="Arial" w:hAnsi="Arial" w:cs="Arial"/>
        </w:rPr>
        <w:t>–</w:t>
      </w:r>
      <w:r w:rsidRPr="00AA5151">
        <w:rPr>
          <w:rFonts w:ascii="Arial" w:hAnsi="Arial" w:cs="Arial"/>
          <w:sz w:val="20"/>
          <w:szCs w:val="20"/>
        </w:rPr>
        <w:t xml:space="preserve"> </w:t>
      </w:r>
      <w:hyperlink r:id="rId2">
        <w:r w:rsidRPr="00AA5151">
          <w:rPr>
            <w:rFonts w:ascii="Arial" w:hAnsi="Arial" w:cs="Arial"/>
            <w:color w:val="000000" w:themeColor="text1"/>
            <w:sz w:val="20"/>
            <w:szCs w:val="20"/>
            <w:u w:val="single"/>
          </w:rPr>
          <w:t>cvvm.soc.cas.cz/media/com_form2content/documents/c2/a5175/f9/ov200325.pdf</w:t>
        </w:r>
      </w:hyperlink>
      <w:r w:rsidRPr="00AA5151">
        <w:rPr>
          <w:rFonts w:ascii="Arial" w:hAnsi="Arial" w:cs="Arial"/>
          <w:sz w:val="20"/>
          <w:szCs w:val="20"/>
        </w:rPr>
        <w:t>.</w:t>
      </w:r>
    </w:p>
  </w:footnote>
  <w:footnote w:id="2">
    <w:p w14:paraId="51D1CCC5" w14:textId="77777777" w:rsidR="00AA5151" w:rsidRPr="00AA5151" w:rsidRDefault="00AA5151" w:rsidP="00825BA3">
      <w:pPr>
        <w:pBdr>
          <w:top w:val="nil"/>
          <w:left w:val="nil"/>
          <w:bottom w:val="nil"/>
          <w:right w:val="nil"/>
          <w:between w:val="nil"/>
        </w:pBdr>
        <w:rPr>
          <w:rFonts w:ascii="Arial" w:hAnsi="Arial" w:cs="Arial"/>
          <w:color w:val="000000"/>
          <w:sz w:val="20"/>
          <w:szCs w:val="20"/>
        </w:rPr>
      </w:pPr>
      <w:r w:rsidRPr="00AA5151">
        <w:rPr>
          <w:rFonts w:ascii="Arial" w:hAnsi="Arial" w:cs="Arial"/>
          <w:vertAlign w:val="superscript"/>
        </w:rPr>
        <w:footnoteRef/>
      </w:r>
      <w:r w:rsidRPr="00AA5151">
        <w:rPr>
          <w:rFonts w:ascii="Arial" w:hAnsi="Arial" w:cs="Arial"/>
          <w:color w:val="000000"/>
          <w:sz w:val="20"/>
          <w:szCs w:val="20"/>
        </w:rPr>
        <w:t xml:space="preserve"> CVMM. 2019. Postoje veřejnosti k právům homosexuálů – květen 2019. </w:t>
      </w:r>
      <w:r w:rsidR="0016133D">
        <w:rPr>
          <w:rFonts w:ascii="Arial" w:hAnsi="Arial" w:cs="Arial"/>
          <w:color w:val="000000"/>
          <w:sz w:val="20"/>
          <w:szCs w:val="20"/>
        </w:rPr>
        <w:br/>
      </w:r>
      <w:r w:rsidRPr="00AA5151">
        <w:rPr>
          <w:rFonts w:ascii="Arial" w:hAnsi="Arial" w:cs="Arial"/>
          <w:color w:val="000000"/>
          <w:sz w:val="20"/>
          <w:szCs w:val="20"/>
        </w:rPr>
        <w:t xml:space="preserve">Online: </w:t>
      </w:r>
      <w:hyperlink r:id="rId3">
        <w:r w:rsidRPr="00AA5151">
          <w:rPr>
            <w:rFonts w:ascii="Arial" w:hAnsi="Arial" w:cs="Arial"/>
            <w:color w:val="000000" w:themeColor="text1"/>
            <w:sz w:val="20"/>
            <w:szCs w:val="20"/>
            <w:u w:val="single"/>
          </w:rPr>
          <w:t>cvvm.soc.cas.cz/media/com_form2content/documents/c2/a4940/f9/ov190607.pdf</w:t>
        </w:r>
      </w:hyperlink>
    </w:p>
  </w:footnote>
  <w:footnote w:id="3">
    <w:p w14:paraId="78A97C4D" w14:textId="77777777" w:rsidR="00AA5151" w:rsidRPr="00AA5151" w:rsidRDefault="00AA5151" w:rsidP="00825BA3">
      <w:pPr>
        <w:pBdr>
          <w:top w:val="nil"/>
          <w:left w:val="nil"/>
          <w:bottom w:val="nil"/>
          <w:right w:val="nil"/>
          <w:between w:val="nil"/>
        </w:pBdr>
        <w:rPr>
          <w:rFonts w:ascii="Arial" w:hAnsi="Arial" w:cs="Arial"/>
          <w:color w:val="000000"/>
          <w:sz w:val="20"/>
          <w:szCs w:val="20"/>
        </w:rPr>
      </w:pPr>
      <w:r w:rsidRPr="00AA5151">
        <w:rPr>
          <w:rFonts w:ascii="Arial" w:hAnsi="Arial" w:cs="Arial"/>
          <w:vertAlign w:val="superscript"/>
        </w:rPr>
        <w:footnoteRef/>
      </w:r>
      <w:r w:rsidRPr="00AA5151">
        <w:rPr>
          <w:rFonts w:ascii="Arial" w:hAnsi="Arial" w:cs="Arial"/>
          <w:color w:val="000000"/>
          <w:sz w:val="20"/>
          <w:szCs w:val="20"/>
        </w:rPr>
        <w:t xml:space="preserve"> ČSÚ. 2013. Partnerské svazky osob stejného pohlaví v České republice a v Evropě. </w:t>
      </w:r>
      <w:r w:rsidR="001A7BC1">
        <w:rPr>
          <w:rFonts w:ascii="Arial" w:hAnsi="Arial" w:cs="Arial"/>
          <w:color w:val="000000"/>
          <w:sz w:val="20"/>
          <w:szCs w:val="20"/>
        </w:rPr>
        <w:br/>
      </w:r>
      <w:r w:rsidRPr="00AA5151">
        <w:rPr>
          <w:rFonts w:ascii="Arial" w:hAnsi="Arial" w:cs="Arial"/>
          <w:color w:val="000000"/>
          <w:sz w:val="20"/>
          <w:szCs w:val="20"/>
        </w:rPr>
        <w:t xml:space="preserve">Online: </w:t>
      </w:r>
      <w:hyperlink r:id="rId4">
        <w:r w:rsidRPr="00AA5151">
          <w:rPr>
            <w:rFonts w:ascii="Arial" w:hAnsi="Arial" w:cs="Arial"/>
            <w:color w:val="000000" w:themeColor="text1"/>
            <w:sz w:val="20"/>
            <w:szCs w:val="20"/>
            <w:u w:val="single"/>
          </w:rPr>
          <w:t>www.czso.cz/documents/10180/20533820/csav102413opr.pdf/952872bd-1745-4ce0-a21b-c30bbc03ef47?version=1.0</w:t>
        </w:r>
      </w:hyperlink>
    </w:p>
  </w:footnote>
  <w:footnote w:id="4">
    <w:p w14:paraId="191294E7" w14:textId="77777777" w:rsidR="00AA5151" w:rsidRPr="00AA5151" w:rsidRDefault="00AA5151" w:rsidP="00825BA3">
      <w:pPr>
        <w:pBdr>
          <w:top w:val="nil"/>
          <w:left w:val="nil"/>
          <w:bottom w:val="nil"/>
          <w:right w:val="nil"/>
          <w:between w:val="nil"/>
        </w:pBdr>
        <w:rPr>
          <w:rFonts w:ascii="Arial" w:hAnsi="Arial" w:cs="Arial"/>
          <w:color w:val="000000"/>
          <w:sz w:val="20"/>
          <w:szCs w:val="20"/>
        </w:rPr>
      </w:pPr>
      <w:r w:rsidRPr="00AA5151">
        <w:rPr>
          <w:rFonts w:ascii="Arial" w:hAnsi="Arial" w:cs="Arial"/>
          <w:vertAlign w:val="superscript"/>
        </w:rPr>
        <w:footnoteRef/>
      </w:r>
      <w:r w:rsidRPr="00AA5151">
        <w:rPr>
          <w:rFonts w:ascii="Arial" w:hAnsi="Arial" w:cs="Arial"/>
          <w:color w:val="000000"/>
          <w:sz w:val="20"/>
          <w:szCs w:val="20"/>
        </w:rPr>
        <w:t xml:space="preserve"> 42 % populace se domnívá, že „přiznání“ se k homosexualitě by způsobilo v okolí problémy. Přičemž se tento poměr znatelněji snižuje až v posledních 3 letech. (Vedle toho až 50 % populace žádného gaye nebo lesbu vůbec nezná.) (CVVM, 2019)</w:t>
      </w:r>
    </w:p>
  </w:footnote>
  <w:footnote w:id="5">
    <w:p w14:paraId="78E7305D" w14:textId="77777777" w:rsidR="00AA5151" w:rsidRPr="00AA5151" w:rsidRDefault="00AA5151" w:rsidP="00825BA3">
      <w:pPr>
        <w:rPr>
          <w:rFonts w:ascii="Arial" w:hAnsi="Arial" w:cs="Arial"/>
          <w:sz w:val="20"/>
          <w:szCs w:val="20"/>
        </w:rPr>
      </w:pPr>
      <w:r w:rsidRPr="00AA5151">
        <w:rPr>
          <w:rFonts w:ascii="Arial" w:hAnsi="Arial" w:cs="Arial"/>
          <w:vertAlign w:val="superscript"/>
        </w:rPr>
        <w:footnoteRef/>
      </w:r>
      <w:r w:rsidRPr="00AA5151">
        <w:rPr>
          <w:rFonts w:ascii="Arial" w:hAnsi="Arial" w:cs="Arial"/>
          <w:sz w:val="20"/>
          <w:szCs w:val="20"/>
        </w:rPr>
        <w:t xml:space="preserve"> ČSÚ. nedatováno/2014. Nesezdaná soužití: hlavně ve velkých městech. </w:t>
      </w:r>
      <w:r w:rsidR="001A7BC1">
        <w:rPr>
          <w:rFonts w:ascii="Arial" w:hAnsi="Arial" w:cs="Arial"/>
          <w:sz w:val="20"/>
          <w:szCs w:val="20"/>
        </w:rPr>
        <w:br/>
      </w:r>
      <w:r w:rsidRPr="00AA5151">
        <w:rPr>
          <w:rFonts w:ascii="Arial" w:hAnsi="Arial" w:cs="Arial"/>
          <w:sz w:val="20"/>
          <w:szCs w:val="20"/>
        </w:rPr>
        <w:t xml:space="preserve">Online: </w:t>
      </w:r>
      <w:hyperlink r:id="rId5" w:history="1">
        <w:r w:rsidRPr="001A7BC1">
          <w:rPr>
            <w:rStyle w:val="Hypertextovodkaz"/>
            <w:rFonts w:ascii="Arial" w:hAnsi="Arial" w:cs="Arial"/>
            <w:color w:val="000000" w:themeColor="text1"/>
            <w:sz w:val="20"/>
            <w:szCs w:val="20"/>
          </w:rPr>
          <w:t>www.czso.cz/csu/czso/a50041548c</w:t>
        </w:r>
      </w:hyperlink>
      <w:r w:rsidRPr="00AA5151">
        <w:rPr>
          <w:rFonts w:ascii="Arial" w:hAnsi="Arial" w:cs="Arial"/>
          <w:sz w:val="20"/>
          <w:szCs w:val="20"/>
        </w:rPr>
        <w:t>.</w:t>
      </w:r>
    </w:p>
  </w:footnote>
  <w:footnote w:id="6">
    <w:p w14:paraId="583766CE" w14:textId="77777777" w:rsidR="00AA5151" w:rsidRPr="00AA5151" w:rsidRDefault="00AA5151" w:rsidP="00825BA3">
      <w:pPr>
        <w:pBdr>
          <w:top w:val="nil"/>
          <w:left w:val="nil"/>
          <w:bottom w:val="nil"/>
          <w:right w:val="nil"/>
          <w:between w:val="nil"/>
        </w:pBdr>
        <w:rPr>
          <w:rFonts w:ascii="Arial" w:hAnsi="Arial" w:cs="Arial"/>
          <w:color w:val="000000"/>
          <w:sz w:val="20"/>
          <w:szCs w:val="20"/>
        </w:rPr>
      </w:pPr>
      <w:r w:rsidRPr="00AA5151">
        <w:rPr>
          <w:rFonts w:ascii="Arial" w:hAnsi="Arial" w:cs="Arial"/>
          <w:vertAlign w:val="superscript"/>
        </w:rPr>
        <w:footnoteRef/>
      </w:r>
      <w:r w:rsidRPr="00AA5151">
        <w:rPr>
          <w:rFonts w:ascii="Arial" w:hAnsi="Arial" w:cs="Arial"/>
          <w:color w:val="000000"/>
          <w:sz w:val="20"/>
          <w:szCs w:val="20"/>
        </w:rPr>
        <w:t xml:space="preserve"> Kuriozitou z dat Ministerstva vnitra je evidence registrovaných partnerství vzniklých ještě před možností vstupovat do RP v Česku. Jde o partnerství vzniklá v zahraničí a později u nás uznaná i s datem svého vzniku př</w:t>
      </w:r>
      <w:r w:rsidRPr="00AA5151">
        <w:rPr>
          <w:rFonts w:ascii="Arial" w:hAnsi="Arial" w:cs="Arial"/>
          <w:sz w:val="20"/>
          <w:szCs w:val="20"/>
        </w:rPr>
        <w:t>ed 1. 7. 2006</w:t>
      </w:r>
      <w:r w:rsidRPr="00AA5151">
        <w:rPr>
          <w:rFonts w:ascii="Arial" w:hAnsi="Arial" w:cs="Arial"/>
          <w:color w:val="000000"/>
          <w:sz w:val="20"/>
          <w:szCs w:val="20"/>
        </w:rPr>
        <w:t>.</w:t>
      </w:r>
    </w:p>
  </w:footnote>
  <w:footnote w:id="7">
    <w:p w14:paraId="606FD2F6" w14:textId="77777777" w:rsidR="00AA5151" w:rsidRPr="00AA5151" w:rsidRDefault="00AA5151" w:rsidP="00825BA3">
      <w:pPr>
        <w:rPr>
          <w:rFonts w:ascii="Arial" w:hAnsi="Arial" w:cs="Arial"/>
          <w:sz w:val="20"/>
          <w:szCs w:val="20"/>
        </w:rPr>
      </w:pPr>
      <w:r w:rsidRPr="00AA5151">
        <w:rPr>
          <w:rFonts w:ascii="Arial" w:hAnsi="Arial" w:cs="Arial"/>
          <w:vertAlign w:val="superscript"/>
        </w:rPr>
        <w:footnoteRef/>
      </w:r>
      <w:r w:rsidRPr="00AA5151">
        <w:rPr>
          <w:rFonts w:ascii="Arial" w:hAnsi="Arial" w:cs="Arial"/>
          <w:sz w:val="20"/>
          <w:szCs w:val="20"/>
        </w:rPr>
        <w:t xml:space="preserve"> ČSÚ. 2019. Zaostřeno na ženy a muže - 2019: </w:t>
      </w:r>
      <w:r w:rsidRPr="00AA5151">
        <w:rPr>
          <w:rFonts w:ascii="Arial" w:hAnsi="Arial" w:cs="Arial"/>
          <w:sz w:val="20"/>
          <w:szCs w:val="20"/>
          <w:highlight w:val="white"/>
        </w:rPr>
        <w:t xml:space="preserve">1. Obyvatelstvo, rodiny, domácnosti -  26. Rozvody podle délky trvání manželství ve vybraných letech. Online: </w:t>
      </w:r>
      <w:hyperlink r:id="rId6" w:history="1">
        <w:r w:rsidR="001A7BC1" w:rsidRPr="00825BA3">
          <w:rPr>
            <w:rStyle w:val="Hypertextovodkaz"/>
            <w:rFonts w:ascii="Arial" w:hAnsi="Arial" w:cs="Arial"/>
            <w:color w:val="000000" w:themeColor="text1"/>
            <w:sz w:val="20"/>
            <w:szCs w:val="20"/>
            <w:highlight w:val="white"/>
          </w:rPr>
          <w:t>www.czso.cz/documents/10180/91605937/300002190126.pdf/d292a074-42ca-42a2-8ade-711d532b3575?version=1.1</w:t>
        </w:r>
      </w:hyperlink>
    </w:p>
  </w:footnote>
  <w:footnote w:id="8">
    <w:p w14:paraId="3CFD1750" w14:textId="77777777" w:rsidR="00AA5151" w:rsidRPr="00AA5151" w:rsidRDefault="00AA5151" w:rsidP="00825BA3">
      <w:pPr>
        <w:rPr>
          <w:rFonts w:ascii="Arial" w:hAnsi="Arial" w:cs="Arial"/>
          <w:sz w:val="20"/>
          <w:szCs w:val="20"/>
        </w:rPr>
      </w:pPr>
      <w:r w:rsidRPr="00AA5151">
        <w:rPr>
          <w:rFonts w:ascii="Arial" w:hAnsi="Arial" w:cs="Arial"/>
          <w:vertAlign w:val="superscript"/>
        </w:rPr>
        <w:footnoteRef/>
      </w:r>
      <w:r w:rsidRPr="00AA5151">
        <w:rPr>
          <w:rFonts w:ascii="Arial" w:hAnsi="Arial" w:cs="Arial"/>
          <w:sz w:val="20"/>
          <w:szCs w:val="20"/>
        </w:rPr>
        <w:t xml:space="preserve"> ČSÚ. 2019. ČSÚ. 2019. Zaostřeno na ženy a muže - 2019: </w:t>
      </w:r>
      <w:r w:rsidRPr="00AA5151">
        <w:rPr>
          <w:rFonts w:ascii="Arial" w:hAnsi="Arial" w:cs="Arial"/>
          <w:sz w:val="20"/>
          <w:szCs w:val="20"/>
          <w:highlight w:val="white"/>
        </w:rPr>
        <w:t xml:space="preserve">1. Obyvatelstvo, rodiny, domácnosti - </w:t>
      </w:r>
      <w:r w:rsidRPr="00AA5151">
        <w:rPr>
          <w:rFonts w:ascii="Arial" w:hAnsi="Arial" w:cs="Arial"/>
          <w:sz w:val="20"/>
          <w:szCs w:val="20"/>
        </w:rPr>
        <w:t xml:space="preserve">14. Průměrný věk při uzavření prvního manželství, mezinárodní srovnání. </w:t>
      </w:r>
      <w:r w:rsidR="00825BA3">
        <w:rPr>
          <w:rFonts w:ascii="Arial" w:hAnsi="Arial" w:cs="Arial"/>
          <w:sz w:val="20"/>
          <w:szCs w:val="20"/>
        </w:rPr>
        <w:br/>
      </w:r>
      <w:r w:rsidRPr="00AA5151">
        <w:rPr>
          <w:rFonts w:ascii="Arial" w:hAnsi="Arial" w:cs="Arial"/>
          <w:sz w:val="20"/>
          <w:szCs w:val="20"/>
        </w:rPr>
        <w:t xml:space="preserve">Online: </w:t>
      </w:r>
      <w:hyperlink r:id="rId7" w:history="1">
        <w:r w:rsidR="001A7BC1" w:rsidRPr="001A7BC1">
          <w:rPr>
            <w:rStyle w:val="Hypertextovodkaz"/>
            <w:rFonts w:ascii="Arial" w:hAnsi="Arial" w:cs="Arial"/>
            <w:color w:val="000000" w:themeColor="text1"/>
            <w:sz w:val="20"/>
            <w:szCs w:val="20"/>
          </w:rPr>
          <w:t>www.czso.cz/documents/10180/91605937/300002190114.pdf/393b6996-ff0f-4b59-8c16-dd0b7f5b3b36?version=1.1</w:t>
        </w:r>
      </w:hyperlink>
    </w:p>
  </w:footnote>
  <w:footnote w:id="9">
    <w:p w14:paraId="547419C6" w14:textId="77777777" w:rsidR="00AA5151" w:rsidRPr="00AA5151" w:rsidRDefault="00AA5151" w:rsidP="00825BA3">
      <w:pPr>
        <w:rPr>
          <w:rFonts w:ascii="Arial" w:hAnsi="Arial" w:cs="Arial"/>
          <w:sz w:val="20"/>
          <w:szCs w:val="20"/>
        </w:rPr>
      </w:pPr>
      <w:r w:rsidRPr="00AA5151">
        <w:rPr>
          <w:rFonts w:ascii="Arial" w:hAnsi="Arial" w:cs="Arial"/>
          <w:vertAlign w:val="superscript"/>
        </w:rPr>
        <w:footnoteRef/>
      </w:r>
      <w:r w:rsidRPr="00AA5151">
        <w:rPr>
          <w:rFonts w:ascii="Arial" w:hAnsi="Arial" w:cs="Arial"/>
          <w:sz w:val="20"/>
          <w:szCs w:val="20"/>
        </w:rPr>
        <w:t xml:space="preserve"> ČSÚ. 2019. Demografická ročenka České republiky </w:t>
      </w:r>
      <w:r w:rsidR="00CC2A57">
        <w:rPr>
          <w:rFonts w:ascii="Arial" w:hAnsi="Arial" w:cs="Arial"/>
          <w:sz w:val="20"/>
          <w:szCs w:val="20"/>
        </w:rPr>
        <w:t>–</w:t>
      </w:r>
      <w:r w:rsidRPr="00AA5151">
        <w:rPr>
          <w:rFonts w:ascii="Arial" w:hAnsi="Arial" w:cs="Arial"/>
          <w:sz w:val="20"/>
          <w:szCs w:val="20"/>
        </w:rPr>
        <w:t xml:space="preserve"> 2018: </w:t>
      </w:r>
      <w:r w:rsidRPr="00AA5151">
        <w:rPr>
          <w:rFonts w:ascii="Arial" w:hAnsi="Arial" w:cs="Arial"/>
          <w:sz w:val="20"/>
          <w:szCs w:val="20"/>
          <w:highlight w:val="white"/>
        </w:rPr>
        <w:t>B.12 Sňatky podle rozdílu věku snoubenců a rodinného stavu. Online: stavu</w:t>
      </w:r>
      <w:r w:rsidR="001A7BC1">
        <w:rPr>
          <w:rFonts w:ascii="Arial" w:hAnsi="Arial" w:cs="Arial"/>
          <w:sz w:val="20"/>
          <w:szCs w:val="20"/>
        </w:rPr>
        <w:t xml:space="preserve">: </w:t>
      </w:r>
      <w:hyperlink r:id="rId8" w:history="1">
        <w:r w:rsidR="001A7BC1" w:rsidRPr="001A7BC1">
          <w:rPr>
            <w:rStyle w:val="Hypertextovodkaz"/>
            <w:rFonts w:ascii="Arial" w:hAnsi="Arial" w:cs="Arial"/>
            <w:color w:val="000000" w:themeColor="text1"/>
            <w:sz w:val="20"/>
            <w:szCs w:val="20"/>
          </w:rPr>
          <w:t>www.czso.cz/documents/10180/91917728/13006719rb12.pdf/a3f6e7db-9f66-4a4a-a8e5-3b1e4667e10b?version=1.0</w:t>
        </w:r>
      </w:hyperlink>
    </w:p>
  </w:footnote>
  <w:footnote w:id="10">
    <w:p w14:paraId="050DA63D" w14:textId="77777777" w:rsidR="00AA5151" w:rsidRPr="00AA5151" w:rsidRDefault="00AA5151" w:rsidP="00825BA3">
      <w:pPr>
        <w:rPr>
          <w:rFonts w:ascii="Arial" w:hAnsi="Arial" w:cs="Arial"/>
          <w:sz w:val="20"/>
          <w:szCs w:val="20"/>
        </w:rPr>
      </w:pPr>
      <w:r w:rsidRPr="00AA5151">
        <w:rPr>
          <w:rFonts w:ascii="Arial" w:hAnsi="Arial" w:cs="Arial"/>
          <w:vertAlign w:val="superscript"/>
        </w:rPr>
        <w:footnoteRef/>
      </w:r>
      <w:r w:rsidRPr="00AA5151">
        <w:rPr>
          <w:rFonts w:ascii="Arial" w:hAnsi="Arial" w:cs="Arial"/>
          <w:sz w:val="20"/>
          <w:szCs w:val="20"/>
        </w:rPr>
        <w:t xml:space="preserve"> </w:t>
      </w:r>
      <w:r w:rsidRPr="007F3524">
        <w:rPr>
          <w:rFonts w:ascii="Arial" w:hAnsi="Arial" w:cs="Arial"/>
          <w:sz w:val="18"/>
          <w:szCs w:val="20"/>
        </w:rPr>
        <w:t xml:space="preserve">ČSÚ. 2019. </w:t>
      </w:r>
      <w:r w:rsidRPr="007F3524">
        <w:rPr>
          <w:rFonts w:ascii="Arial" w:hAnsi="Arial" w:cs="Arial"/>
          <w:sz w:val="20"/>
        </w:rPr>
        <w:t xml:space="preserve">Demografická ročenka České republiky - 2018. Online: </w:t>
      </w:r>
      <w:r w:rsidRPr="007F3524">
        <w:rPr>
          <w:rFonts w:ascii="Arial" w:hAnsi="Arial" w:cs="Arial"/>
          <w:color w:val="000000" w:themeColor="text1"/>
          <w:sz w:val="18"/>
          <w:szCs w:val="20"/>
        </w:rPr>
        <w:t xml:space="preserve"> </w:t>
      </w:r>
      <w:hyperlink r:id="rId9" w:history="1">
        <w:r w:rsidRPr="00AA5151">
          <w:rPr>
            <w:rStyle w:val="Hypertextovodkaz"/>
            <w:rFonts w:ascii="Arial" w:eastAsia="Roboto" w:hAnsi="Arial" w:cs="Arial"/>
            <w:color w:val="000000" w:themeColor="text1"/>
            <w:sz w:val="20"/>
            <w:szCs w:val="20"/>
            <w:highlight w:val="white"/>
          </w:rPr>
          <w:t>www.czso.cz/csu/czso/demograficka-rocenka-ceske-republiky-bec10o9r0o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8664" w14:textId="77777777" w:rsidR="00282864" w:rsidRDefault="0062236B" w:rsidP="00282864">
    <w:pPr>
      <w:jc w:val="right"/>
    </w:pPr>
    <w:r>
      <w:rPr>
        <w:noProof/>
        <w:lang w:eastAsia="cs-CZ"/>
      </w:rPr>
      <w:drawing>
        <wp:anchor distT="0" distB="0" distL="114300" distR="114300" simplePos="0" relativeHeight="251661312" behindDoc="1" locked="0" layoutInCell="1" allowOverlap="1" wp14:anchorId="00A88485" wp14:editId="5BF0980A">
          <wp:simplePos x="0" y="0"/>
          <wp:positionH relativeFrom="column">
            <wp:posOffset>0</wp:posOffset>
          </wp:positionH>
          <wp:positionV relativeFrom="paragraph">
            <wp:posOffset>19050</wp:posOffset>
          </wp:positionV>
          <wp:extent cx="2764155" cy="673100"/>
          <wp:effectExtent l="0" t="0" r="0" b="0"/>
          <wp:wrapNone/>
          <wp:docPr id="2" name="Obrázek 2" descr="logo_S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673100"/>
                  </a:xfrm>
                  <a:prstGeom prst="rect">
                    <a:avLst/>
                  </a:prstGeom>
                  <a:noFill/>
                </pic:spPr>
              </pic:pic>
            </a:graphicData>
          </a:graphic>
          <wp14:sizeRelH relativeFrom="page">
            <wp14:pctWidth>0</wp14:pctWidth>
          </wp14:sizeRelH>
          <wp14:sizeRelV relativeFrom="page">
            <wp14:pctHeight>0</wp14:pctHeight>
          </wp14:sizeRelV>
        </wp:anchor>
      </w:drawing>
    </w:r>
    <w:r w:rsidR="00282864">
      <w:tab/>
    </w:r>
    <w:r w:rsidR="00282864">
      <w:tab/>
    </w:r>
  </w:p>
  <w:p w14:paraId="2568927B" w14:textId="77777777" w:rsidR="00346C0E" w:rsidRDefault="0062236B" w:rsidP="00282864">
    <w:pPr>
      <w:jc w:val="right"/>
    </w:pPr>
    <w:r>
      <w:rPr>
        <w:rFonts w:ascii="Arial" w:hAnsi="Arial" w:cs="Arial"/>
        <w:b/>
        <w:color w:val="0072B6"/>
        <w:sz w:val="24"/>
      </w:rPr>
      <w:br/>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F3"/>
    <w:rsid w:val="000D3B8E"/>
    <w:rsid w:val="000E1F77"/>
    <w:rsid w:val="000F000E"/>
    <w:rsid w:val="00111AC5"/>
    <w:rsid w:val="001360AD"/>
    <w:rsid w:val="0016133D"/>
    <w:rsid w:val="00176173"/>
    <w:rsid w:val="001A7BC1"/>
    <w:rsid w:val="00230B6E"/>
    <w:rsid w:val="00230D72"/>
    <w:rsid w:val="00234C47"/>
    <w:rsid w:val="002539A2"/>
    <w:rsid w:val="00256D32"/>
    <w:rsid w:val="0026504F"/>
    <w:rsid w:val="002822A6"/>
    <w:rsid w:val="00282864"/>
    <w:rsid w:val="002D76DA"/>
    <w:rsid w:val="00346C0E"/>
    <w:rsid w:val="00353A8B"/>
    <w:rsid w:val="00396911"/>
    <w:rsid w:val="003C7CE0"/>
    <w:rsid w:val="003D1AD7"/>
    <w:rsid w:val="003F30C0"/>
    <w:rsid w:val="004117E7"/>
    <w:rsid w:val="004131D1"/>
    <w:rsid w:val="00414B6D"/>
    <w:rsid w:val="0044620B"/>
    <w:rsid w:val="0047303C"/>
    <w:rsid w:val="004B6CA4"/>
    <w:rsid w:val="0050051C"/>
    <w:rsid w:val="005621D9"/>
    <w:rsid w:val="005967E5"/>
    <w:rsid w:val="005A2808"/>
    <w:rsid w:val="005A7A9C"/>
    <w:rsid w:val="005D51A1"/>
    <w:rsid w:val="005D6597"/>
    <w:rsid w:val="0062236B"/>
    <w:rsid w:val="0063642B"/>
    <w:rsid w:val="00654AA9"/>
    <w:rsid w:val="0068040C"/>
    <w:rsid w:val="006868E0"/>
    <w:rsid w:val="00706E85"/>
    <w:rsid w:val="00716AB0"/>
    <w:rsid w:val="00761FE7"/>
    <w:rsid w:val="00771624"/>
    <w:rsid w:val="007F3524"/>
    <w:rsid w:val="008147C7"/>
    <w:rsid w:val="00825BA3"/>
    <w:rsid w:val="008A5034"/>
    <w:rsid w:val="00901BB0"/>
    <w:rsid w:val="009173A1"/>
    <w:rsid w:val="00942BE8"/>
    <w:rsid w:val="009C5F07"/>
    <w:rsid w:val="009E4A1C"/>
    <w:rsid w:val="009F5BBA"/>
    <w:rsid w:val="00A147C7"/>
    <w:rsid w:val="00A875F3"/>
    <w:rsid w:val="00AA5151"/>
    <w:rsid w:val="00AE33AD"/>
    <w:rsid w:val="00AF1BB9"/>
    <w:rsid w:val="00B002C8"/>
    <w:rsid w:val="00B06A86"/>
    <w:rsid w:val="00B526FA"/>
    <w:rsid w:val="00B916ED"/>
    <w:rsid w:val="00BC6B14"/>
    <w:rsid w:val="00BE1D9D"/>
    <w:rsid w:val="00C65FDF"/>
    <w:rsid w:val="00CC2A57"/>
    <w:rsid w:val="00CF2475"/>
    <w:rsid w:val="00D00279"/>
    <w:rsid w:val="00E20775"/>
    <w:rsid w:val="00E543AE"/>
    <w:rsid w:val="00E613A8"/>
    <w:rsid w:val="00E9200B"/>
    <w:rsid w:val="00E967CE"/>
    <w:rsid w:val="00ED6EC9"/>
    <w:rsid w:val="00F44BE1"/>
    <w:rsid w:val="00F91F85"/>
    <w:rsid w:val="00FA268E"/>
    <w:rsid w:val="00FB2943"/>
    <w:rsid w:val="00FC6B0A"/>
    <w:rsid w:val="00FE2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6189F"/>
  <w15:chartTrackingRefBased/>
  <w15:docId w15:val="{6CD1A974-79A7-4924-ADCB-921F1728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A5151"/>
    <w:pPr>
      <w:keepNext/>
      <w:spacing w:before="240" w:after="60" w:line="240" w:lineRule="auto"/>
      <w:outlineLvl w:val="1"/>
    </w:pPr>
    <w:rPr>
      <w:rFonts w:ascii="Calibri" w:eastAsia="Calibri" w:hAnsi="Calibri" w:cs="Calibri"/>
      <w:b/>
      <w:i/>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8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1"/>
    <w:qFormat/>
    <w:rsid w:val="00A875F3"/>
    <w:pPr>
      <w:widowControl w:val="0"/>
      <w:autoSpaceDE w:val="0"/>
      <w:autoSpaceDN w:val="0"/>
      <w:spacing w:after="0" w:line="240" w:lineRule="auto"/>
    </w:pPr>
    <w:rPr>
      <w:rFonts w:ascii="Arial" w:eastAsia="Arial" w:hAnsi="Arial" w:cs="Arial"/>
      <w:sz w:val="10"/>
      <w:szCs w:val="10"/>
      <w:lang w:val="en-US"/>
    </w:rPr>
  </w:style>
  <w:style w:type="character" w:customStyle="1" w:styleId="ZkladntextChar">
    <w:name w:val="Základní text Char"/>
    <w:basedOn w:val="Standardnpsmoodstavce"/>
    <w:link w:val="Zkladntext"/>
    <w:uiPriority w:val="1"/>
    <w:rsid w:val="00A875F3"/>
    <w:rPr>
      <w:rFonts w:ascii="Arial" w:eastAsia="Arial" w:hAnsi="Arial" w:cs="Arial"/>
      <w:sz w:val="10"/>
      <w:szCs w:val="10"/>
      <w:lang w:val="en-US"/>
    </w:rPr>
  </w:style>
  <w:style w:type="paragraph" w:styleId="Zhlav">
    <w:name w:val="header"/>
    <w:basedOn w:val="Normln"/>
    <w:link w:val="ZhlavChar"/>
    <w:uiPriority w:val="99"/>
    <w:unhideWhenUsed/>
    <w:rsid w:val="00B52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26FA"/>
  </w:style>
  <w:style w:type="paragraph" w:styleId="Zpat">
    <w:name w:val="footer"/>
    <w:basedOn w:val="Normln"/>
    <w:link w:val="ZpatChar"/>
    <w:uiPriority w:val="99"/>
    <w:unhideWhenUsed/>
    <w:rsid w:val="00B52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B526FA"/>
  </w:style>
  <w:style w:type="character" w:styleId="Hypertextovodkaz">
    <w:name w:val="Hyperlink"/>
    <w:basedOn w:val="Standardnpsmoodstavce"/>
    <w:uiPriority w:val="99"/>
    <w:unhideWhenUsed/>
    <w:rsid w:val="00B526FA"/>
    <w:rPr>
      <w:color w:val="0563C1" w:themeColor="hyperlink"/>
      <w:u w:val="single"/>
    </w:rPr>
  </w:style>
  <w:style w:type="paragraph" w:styleId="Textbubliny">
    <w:name w:val="Balloon Text"/>
    <w:basedOn w:val="Normln"/>
    <w:link w:val="TextbublinyChar"/>
    <w:uiPriority w:val="99"/>
    <w:semiHidden/>
    <w:unhideWhenUsed/>
    <w:rsid w:val="008147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47C7"/>
    <w:rPr>
      <w:rFonts w:ascii="Segoe UI" w:hAnsi="Segoe UI" w:cs="Segoe UI"/>
      <w:sz w:val="18"/>
      <w:szCs w:val="18"/>
    </w:rPr>
  </w:style>
  <w:style w:type="character" w:customStyle="1" w:styleId="Nadpis2Char">
    <w:name w:val="Nadpis 2 Char"/>
    <w:basedOn w:val="Standardnpsmoodstavce"/>
    <w:link w:val="Nadpis2"/>
    <w:uiPriority w:val="9"/>
    <w:rsid w:val="00AA5151"/>
    <w:rPr>
      <w:rFonts w:ascii="Calibri" w:eastAsia="Calibri" w:hAnsi="Calibri" w:cs="Calibri"/>
      <w:b/>
      <w:i/>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mailto:zdenek.sloboda@soc.cas.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2.png"/><Relationship Id="rId2" Type="http://schemas.openxmlformats.org/officeDocument/2006/relationships/styles" Target="styles.xml"/><Relationship Id="rId16" Type="http://schemas.microsoft.com/office/2014/relationships/chartEx" Target="charts/chartEx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homoparentalita.soc.cas.cz"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14/relationships/chartEx" Target="charts/chartEx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czso.cz/documents/10180/91917728/13006719rb12.pdf/a3f6e7db-9f66-4a4a-a8e5-3b1e4667e10b?version=1.0" TargetMode="External"/><Relationship Id="rId3" Type="http://schemas.openxmlformats.org/officeDocument/2006/relationships/hyperlink" Target="https://cvvm.soc.cas.cz/media/com_form2content/documents/c2/a4940/f9/ov190607.pdf" TargetMode="External"/><Relationship Id="rId7" Type="http://schemas.openxmlformats.org/officeDocument/2006/relationships/hyperlink" Target="http://www.czso.cz/documents/10180/91605937/300002190114.pdf/393b6996-ff0f-4b59-8c16-dd0b7f5b3b36?version=1.1" TargetMode="External"/><Relationship Id="rId2" Type="http://schemas.openxmlformats.org/officeDocument/2006/relationships/hyperlink" Target="https://cvvm.soc.cas.cz/media/com_form2content/documents/c2/a5175/f9/ov200325.pdf" TargetMode="External"/><Relationship Id="rId1" Type="http://schemas.openxmlformats.org/officeDocument/2006/relationships/hyperlink" Target="http://www.jsmefer.cz/rozdily" TargetMode="External"/><Relationship Id="rId6" Type="http://schemas.openxmlformats.org/officeDocument/2006/relationships/hyperlink" Target="http://www.czso.cz/documents/10180/91605937/300002190126.pdf/d292a074-42ca-42a2-8ade-711d532b3575?version=1.1" TargetMode="External"/><Relationship Id="rId5" Type="http://schemas.openxmlformats.org/officeDocument/2006/relationships/hyperlink" Target="http://www.czso.cz/csu/czso/a50041548c" TargetMode="External"/><Relationship Id="rId4" Type="http://schemas.openxmlformats.org/officeDocument/2006/relationships/hyperlink" Target="https://www.czso.cz/documents/10180/20533820/csav102413opr.pdf/952872bd-1745-4ce0-a21b-c30bbc03ef47?version=1.0" TargetMode="External"/><Relationship Id="rId9" Type="http://schemas.openxmlformats.org/officeDocument/2006/relationships/hyperlink" Target="http://www.czso.cz/csu/czso/demograficka-rocenka-ceske-republiky-bec10o9r0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filip.lachmann\Desktop\Registrovane-partnerstvi_2006-2019_MVCR_analyzy-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denek\Documents\Academics\SOU%202018-2020\reg.partnerstvi%20data\Registrovane-partnerstvi_2006-2019_MVCR_analyzy-graf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denek\Documents\Academics\SOU%202018-2020\reg.partnerstvi%20data\Registrovane-partnerstvi_2006-2019_MVCR_analyzy-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denek\Documents\Academics\SOU%202018-2020\reg.partnerstvi%20data\Registrovane-partnerstvi_2006-2019_MVCR_analyzy-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denek\Documents\Academics\SOU%202018-2020\reg.partnerstvi%20data\Registrovane-partnerstvi_2006-2019_MVCR_analyzy-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Zdenek\Documents\Academics\SOU%202018-2020\reg.partnerstvi%20data\snatky_rozdil-veku.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Zdenek\Documents\Academics\SOU%202018-2020\reg.partnerstvi%20data\Registrovane-partnerstvi_2006-2019_MVCR_analyzy-grafy.xlsx" TargetMode="External"/><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Zdenek\Documents\Academics\SOU%202018-2020\reg.partnerstvi%20data\Registrovane-partnerstvi_2006-2019_MVCR_analyzy-grafy.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Zdenek\Documents\Academics\SOU%202018-2020\reg.partnerstvi%20data\v&#283;kov&#225;-strukt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'Počty zaniklých v letech'!$B$2</c:f>
              <c:strCache>
                <c:ptCount val="1"/>
                <c:pt idx="0">
                  <c:v>počet vzniklých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'Počty zaniklých v letech'!$A$3:$A$16</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'Počty zaniklých v letech'!$B$3:$B$16</c:f>
              <c:numCache>
                <c:formatCode>General</c:formatCode>
                <c:ptCount val="14"/>
                <c:pt idx="0">
                  <c:v>251</c:v>
                </c:pt>
                <c:pt idx="1">
                  <c:v>263</c:v>
                </c:pt>
                <c:pt idx="2">
                  <c:v>233</c:v>
                </c:pt>
                <c:pt idx="3">
                  <c:v>211</c:v>
                </c:pt>
                <c:pt idx="4">
                  <c:v>203</c:v>
                </c:pt>
                <c:pt idx="5">
                  <c:v>188</c:v>
                </c:pt>
                <c:pt idx="6">
                  <c:v>207</c:v>
                </c:pt>
                <c:pt idx="7">
                  <c:v>213</c:v>
                </c:pt>
                <c:pt idx="8">
                  <c:v>242</c:v>
                </c:pt>
                <c:pt idx="9">
                  <c:v>270</c:v>
                </c:pt>
                <c:pt idx="10">
                  <c:v>348</c:v>
                </c:pt>
                <c:pt idx="11">
                  <c:v>333</c:v>
                </c:pt>
                <c:pt idx="12">
                  <c:v>318</c:v>
                </c:pt>
                <c:pt idx="13">
                  <c:v>345</c:v>
                </c:pt>
              </c:numCache>
            </c:numRef>
          </c:val>
          <c:smooth val="0"/>
          <c:extLst>
            <c:ext xmlns:c16="http://schemas.microsoft.com/office/drawing/2014/chart" uri="{C3380CC4-5D6E-409C-BE32-E72D297353CC}">
              <c16:uniqueId val="{00000000-227D-4763-8925-6F0A9B0DD6AB}"/>
            </c:ext>
          </c:extLst>
        </c:ser>
        <c:ser>
          <c:idx val="1"/>
          <c:order val="1"/>
          <c:tx>
            <c:strRef>
              <c:f>'Počty zaniklých v letech'!$C$2</c:f>
              <c:strCache>
                <c:ptCount val="1"/>
                <c:pt idx="0">
                  <c:v>počet zaniklých </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'Počty zaniklých v letech'!$A$3:$A$16</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'Počty zaniklých v letech'!$C$3:$C$16</c:f>
              <c:numCache>
                <c:formatCode>General</c:formatCode>
                <c:ptCount val="14"/>
                <c:pt idx="0">
                  <c:v>1</c:v>
                </c:pt>
                <c:pt idx="1">
                  <c:v>12</c:v>
                </c:pt>
                <c:pt idx="2">
                  <c:v>24</c:v>
                </c:pt>
                <c:pt idx="3">
                  <c:v>37</c:v>
                </c:pt>
                <c:pt idx="4">
                  <c:v>53</c:v>
                </c:pt>
                <c:pt idx="5">
                  <c:v>55</c:v>
                </c:pt>
                <c:pt idx="6">
                  <c:v>79</c:v>
                </c:pt>
                <c:pt idx="7">
                  <c:v>69</c:v>
                </c:pt>
                <c:pt idx="8">
                  <c:v>70</c:v>
                </c:pt>
                <c:pt idx="9">
                  <c:v>88</c:v>
                </c:pt>
                <c:pt idx="10">
                  <c:v>97</c:v>
                </c:pt>
                <c:pt idx="11">
                  <c:v>112</c:v>
                </c:pt>
                <c:pt idx="12">
                  <c:v>112</c:v>
                </c:pt>
                <c:pt idx="13">
                  <c:v>104</c:v>
                </c:pt>
              </c:numCache>
            </c:numRef>
          </c:val>
          <c:smooth val="0"/>
          <c:extLst>
            <c:ext xmlns:c16="http://schemas.microsoft.com/office/drawing/2014/chart" uri="{C3380CC4-5D6E-409C-BE32-E72D297353CC}">
              <c16:uniqueId val="{00000001-227D-4763-8925-6F0A9B0DD6AB}"/>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82199816"/>
        <c:axId val="682200144"/>
      </c:lineChart>
      <c:catAx>
        <c:axId val="6821998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crossAx val="682200144"/>
        <c:crosses val="autoZero"/>
        <c:auto val="1"/>
        <c:lblAlgn val="ctr"/>
        <c:lblOffset val="100"/>
        <c:noMultiLvlLbl val="0"/>
      </c:catAx>
      <c:valAx>
        <c:axId val="682200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crossAx val="682199816"/>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425730320295332E-2"/>
          <c:y val="7.0327842495866502E-2"/>
          <c:w val="0.91272603119731988"/>
          <c:h val="0.82621032970828234"/>
        </c:manualLayout>
      </c:layout>
      <c:barChart>
        <c:barDir val="col"/>
        <c:grouping val="stacked"/>
        <c:varyColors val="0"/>
        <c:ser>
          <c:idx val="0"/>
          <c:order val="0"/>
          <c:tx>
            <c:strRef>
              <c:f>'tab+grf_vznik-zanik'!$C$50</c:f>
              <c:strCache>
                <c:ptCount val="1"/>
                <c:pt idx="0">
                  <c:v>stále trvajících RP</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'tab+grf_vznik-zanik'!$D$49:$Q$49</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'tab+grf_vznik-zanik'!$D$50:$Q$50</c:f>
              <c:numCache>
                <c:formatCode>General</c:formatCode>
                <c:ptCount val="14"/>
                <c:pt idx="0">
                  <c:v>140</c:v>
                </c:pt>
                <c:pt idx="1">
                  <c:v>135</c:v>
                </c:pt>
                <c:pt idx="2">
                  <c:v>116</c:v>
                </c:pt>
                <c:pt idx="3">
                  <c:v>119</c:v>
                </c:pt>
                <c:pt idx="4">
                  <c:v>130</c:v>
                </c:pt>
                <c:pt idx="5">
                  <c:v>120</c:v>
                </c:pt>
                <c:pt idx="6">
                  <c:v>136</c:v>
                </c:pt>
                <c:pt idx="7">
                  <c:v>148</c:v>
                </c:pt>
                <c:pt idx="8">
                  <c:v>179</c:v>
                </c:pt>
                <c:pt idx="9">
                  <c:v>227</c:v>
                </c:pt>
                <c:pt idx="10">
                  <c:v>296</c:v>
                </c:pt>
                <c:pt idx="11">
                  <c:v>311</c:v>
                </c:pt>
                <c:pt idx="12">
                  <c:v>309</c:v>
                </c:pt>
                <c:pt idx="13">
                  <c:v>344</c:v>
                </c:pt>
              </c:numCache>
            </c:numRef>
          </c:val>
          <c:extLst>
            <c:ext xmlns:c16="http://schemas.microsoft.com/office/drawing/2014/chart" uri="{C3380CC4-5D6E-409C-BE32-E72D297353CC}">
              <c16:uniqueId val="{00000000-9E82-4119-8555-DAC87FF174BA}"/>
            </c:ext>
          </c:extLst>
        </c:ser>
        <c:ser>
          <c:idx val="1"/>
          <c:order val="1"/>
          <c:tx>
            <c:strRef>
              <c:f>'tab+grf_vznik-zanik'!$C$51</c:f>
              <c:strCache>
                <c:ptCount val="1"/>
                <c:pt idx="0">
                  <c:v>již zaniklá RP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'tab+grf_vznik-zanik'!$D$49:$Q$49</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'tab+grf_vznik-zanik'!$D$51:$Q$51</c:f>
              <c:numCache>
                <c:formatCode>General</c:formatCode>
                <c:ptCount val="14"/>
                <c:pt idx="0">
                  <c:v>111</c:v>
                </c:pt>
                <c:pt idx="1">
                  <c:v>128</c:v>
                </c:pt>
                <c:pt idx="2">
                  <c:v>117</c:v>
                </c:pt>
                <c:pt idx="3">
                  <c:v>92</c:v>
                </c:pt>
                <c:pt idx="4">
                  <c:v>73</c:v>
                </c:pt>
                <c:pt idx="5">
                  <c:v>68</c:v>
                </c:pt>
                <c:pt idx="6">
                  <c:v>71</c:v>
                </c:pt>
                <c:pt idx="7">
                  <c:v>65</c:v>
                </c:pt>
                <c:pt idx="8">
                  <c:v>63</c:v>
                </c:pt>
                <c:pt idx="9">
                  <c:v>43</c:v>
                </c:pt>
                <c:pt idx="10">
                  <c:v>52</c:v>
                </c:pt>
                <c:pt idx="11">
                  <c:v>22</c:v>
                </c:pt>
                <c:pt idx="12">
                  <c:v>9</c:v>
                </c:pt>
                <c:pt idx="13">
                  <c:v>1</c:v>
                </c:pt>
              </c:numCache>
            </c:numRef>
          </c:val>
          <c:extLst>
            <c:ext xmlns:c16="http://schemas.microsoft.com/office/drawing/2014/chart" uri="{C3380CC4-5D6E-409C-BE32-E72D297353CC}">
              <c16:uniqueId val="{00000001-9E82-4119-8555-DAC87FF174BA}"/>
            </c:ext>
          </c:extLst>
        </c:ser>
        <c:dLbls>
          <c:dLblPos val="ctr"/>
          <c:showLegendKey val="0"/>
          <c:showVal val="1"/>
          <c:showCatName val="0"/>
          <c:showSerName val="0"/>
          <c:showPercent val="0"/>
          <c:showBubbleSize val="0"/>
        </c:dLbls>
        <c:gapWidth val="79"/>
        <c:overlap val="100"/>
        <c:axId val="1295149560"/>
        <c:axId val="1295148904"/>
      </c:barChart>
      <c:catAx>
        <c:axId val="129514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95148904"/>
        <c:crosses val="autoZero"/>
        <c:auto val="1"/>
        <c:lblAlgn val="ctr"/>
        <c:lblOffset val="100"/>
        <c:noMultiLvlLbl val="0"/>
      </c:catAx>
      <c:valAx>
        <c:axId val="1295148904"/>
        <c:scaling>
          <c:orientation val="minMax"/>
        </c:scaling>
        <c:delete val="0"/>
        <c:axPos val="l"/>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95149560"/>
        <c:crosses val="autoZero"/>
        <c:crossBetween val="between"/>
      </c:valAx>
      <c:spPr>
        <a:noFill/>
        <a:ln>
          <a:noFill/>
        </a:ln>
        <a:effectLst/>
      </c:spPr>
    </c:plotArea>
    <c:legend>
      <c:legendPos val="t"/>
      <c:layout>
        <c:manualLayout>
          <c:xMode val="edge"/>
          <c:yMode val="edge"/>
          <c:x val="0.21109514969165441"/>
          <c:y val="0.16899821134869181"/>
          <c:w val="0.54528920470307063"/>
          <c:h val="8.37732387209242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BB-44A0-9F76-07340CE215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BB-44A0-9F76-07340CE215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BB-44A0-9F76-07340CE215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BB-44A0-9F76-07340CE215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BB-44A0-9F76-07340CE2156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'graf_věk-gender'!$A$3649:$A$3653</c:f>
              <c:strCache>
                <c:ptCount val="5"/>
                <c:pt idx="0">
                  <c:v>do 1 roku</c:v>
                </c:pt>
                <c:pt idx="1">
                  <c:v>do 2 let</c:v>
                </c:pt>
                <c:pt idx="2">
                  <c:v>do 5 let</c:v>
                </c:pt>
                <c:pt idx="3">
                  <c:v>do 10 let</c:v>
                </c:pt>
                <c:pt idx="4">
                  <c:v>víc než 10 let</c:v>
                </c:pt>
              </c:strCache>
            </c:strRef>
          </c:cat>
          <c:val>
            <c:numRef>
              <c:f>'graf_věk-gender'!$E$3649:$E$3653</c:f>
              <c:numCache>
                <c:formatCode>0.00%</c:formatCode>
                <c:ptCount val="5"/>
                <c:pt idx="0">
                  <c:v>8.6338797814207655E-2</c:v>
                </c:pt>
                <c:pt idx="1">
                  <c:v>0.1650273224043716</c:v>
                </c:pt>
                <c:pt idx="2">
                  <c:v>0.40546448087431691</c:v>
                </c:pt>
                <c:pt idx="3">
                  <c:v>0.2830601092896175</c:v>
                </c:pt>
                <c:pt idx="4">
                  <c:v>6.0109289617486336E-2</c:v>
                </c:pt>
              </c:numCache>
            </c:numRef>
          </c:val>
          <c:extLst>
            <c:ext xmlns:c16="http://schemas.microsoft.com/office/drawing/2014/chart" uri="{C3380CC4-5D6E-409C-BE32-E72D297353CC}">
              <c16:uniqueId val="{0000000A-B2BB-44A0-9F76-07340CE2156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168381559667E-2"/>
          <c:y val="6.9658952205442409E-2"/>
          <c:w val="0.95188316184403332"/>
          <c:h val="0.84565174034096802"/>
        </c:manualLayout>
      </c:layout>
      <c:barChart>
        <c:barDir val="col"/>
        <c:grouping val="stacked"/>
        <c:varyColors val="0"/>
        <c:ser>
          <c:idx val="0"/>
          <c:order val="0"/>
          <c:tx>
            <c:strRef>
              <c:f>'tab+grf_vznik-zanik'!$A$3</c:f>
              <c:strCache>
                <c:ptCount val="1"/>
                <c:pt idx="0">
                  <c:v>ženských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'tab+grf_vznik-zanik'!$B$2:$O$2</c:f>
              <c:numCache>
                <c:formatCode>0</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'tab+grf_vznik-zanik'!$B$3:$O$3</c:f>
              <c:numCache>
                <c:formatCode>General</c:formatCode>
                <c:ptCount val="14"/>
                <c:pt idx="0">
                  <c:v>64</c:v>
                </c:pt>
                <c:pt idx="1">
                  <c:v>80</c:v>
                </c:pt>
                <c:pt idx="2">
                  <c:v>70</c:v>
                </c:pt>
                <c:pt idx="3">
                  <c:v>76</c:v>
                </c:pt>
                <c:pt idx="4">
                  <c:v>53</c:v>
                </c:pt>
                <c:pt idx="5">
                  <c:v>75</c:v>
                </c:pt>
                <c:pt idx="6">
                  <c:v>78</c:v>
                </c:pt>
                <c:pt idx="7">
                  <c:v>87</c:v>
                </c:pt>
                <c:pt idx="8">
                  <c:v>100</c:v>
                </c:pt>
                <c:pt idx="9">
                  <c:v>112</c:v>
                </c:pt>
                <c:pt idx="10">
                  <c:v>147</c:v>
                </c:pt>
                <c:pt idx="11">
                  <c:v>149</c:v>
                </c:pt>
                <c:pt idx="12">
                  <c:v>160</c:v>
                </c:pt>
                <c:pt idx="13">
                  <c:v>167</c:v>
                </c:pt>
              </c:numCache>
            </c:numRef>
          </c:val>
          <c:extLst>
            <c:ext xmlns:c16="http://schemas.microsoft.com/office/drawing/2014/chart" uri="{C3380CC4-5D6E-409C-BE32-E72D297353CC}">
              <c16:uniqueId val="{00000000-94FA-4D92-A339-941F316BB75D}"/>
            </c:ext>
          </c:extLst>
        </c:ser>
        <c:ser>
          <c:idx val="1"/>
          <c:order val="1"/>
          <c:tx>
            <c:strRef>
              <c:f>'tab+grf_vznik-zanik'!$A$4</c:f>
              <c:strCache>
                <c:ptCount val="1"/>
                <c:pt idx="0">
                  <c:v>mužských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'tab+grf_vznik-zanik'!$B$2:$O$2</c:f>
              <c:numCache>
                <c:formatCode>0</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'tab+grf_vznik-zanik'!$B$4:$O$4</c:f>
              <c:numCache>
                <c:formatCode>General</c:formatCode>
                <c:ptCount val="14"/>
                <c:pt idx="0">
                  <c:v>187</c:v>
                </c:pt>
                <c:pt idx="1">
                  <c:v>183</c:v>
                </c:pt>
                <c:pt idx="2">
                  <c:v>163</c:v>
                </c:pt>
                <c:pt idx="3">
                  <c:v>135</c:v>
                </c:pt>
                <c:pt idx="4">
                  <c:v>150</c:v>
                </c:pt>
                <c:pt idx="5">
                  <c:v>113</c:v>
                </c:pt>
                <c:pt idx="6">
                  <c:v>129</c:v>
                </c:pt>
                <c:pt idx="7">
                  <c:v>126</c:v>
                </c:pt>
                <c:pt idx="8">
                  <c:v>142</c:v>
                </c:pt>
                <c:pt idx="9">
                  <c:v>158</c:v>
                </c:pt>
                <c:pt idx="10">
                  <c:v>201</c:v>
                </c:pt>
                <c:pt idx="11">
                  <c:v>184</c:v>
                </c:pt>
                <c:pt idx="12">
                  <c:v>158</c:v>
                </c:pt>
                <c:pt idx="13">
                  <c:v>178</c:v>
                </c:pt>
              </c:numCache>
            </c:numRef>
          </c:val>
          <c:extLst>
            <c:ext xmlns:c16="http://schemas.microsoft.com/office/drawing/2014/chart" uri="{C3380CC4-5D6E-409C-BE32-E72D297353CC}">
              <c16:uniqueId val="{00000001-94FA-4D92-A339-941F316BB75D}"/>
            </c:ext>
          </c:extLst>
        </c:ser>
        <c:dLbls>
          <c:dLblPos val="inEnd"/>
          <c:showLegendKey val="0"/>
          <c:showVal val="1"/>
          <c:showCatName val="0"/>
          <c:showSerName val="0"/>
          <c:showPercent val="0"/>
          <c:showBubbleSize val="0"/>
        </c:dLbls>
        <c:gapWidth val="79"/>
        <c:overlap val="100"/>
        <c:axId val="811868920"/>
        <c:axId val="811868592"/>
      </c:barChart>
      <c:catAx>
        <c:axId val="81186892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11868592"/>
        <c:crosses val="autoZero"/>
        <c:auto val="1"/>
        <c:lblAlgn val="ctr"/>
        <c:lblOffset val="100"/>
        <c:tickLblSkip val="1"/>
        <c:noMultiLvlLbl val="0"/>
      </c:catAx>
      <c:valAx>
        <c:axId val="811868592"/>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11868920"/>
        <c:crossesAt val="1"/>
        <c:crossBetween val="between"/>
      </c:valAx>
      <c:spPr>
        <a:noFill/>
        <a:ln>
          <a:noFill/>
        </a:ln>
        <a:effectLst/>
      </c:spPr>
    </c:plotArea>
    <c:legend>
      <c:legendPos val="t"/>
      <c:layout>
        <c:manualLayout>
          <c:xMode val="edge"/>
          <c:yMode val="edge"/>
          <c:x val="0.28581811170677746"/>
          <c:y val="8.6879069172491621E-2"/>
          <c:w val="0.21706326586477304"/>
          <c:h val="6.8389536414331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věk žen</c:v>
          </c:tx>
          <c:spPr>
            <a:ln w="28575" cap="rnd">
              <a:solidFill>
                <a:schemeClr val="accent1"/>
              </a:solidFill>
              <a:round/>
            </a:ln>
            <a:effectLst/>
          </c:spPr>
          <c:marker>
            <c:symbol val="none"/>
          </c:marker>
          <c:cat>
            <c:numRef>
              <c:f>'graf_věk-gender'!$J$3558:$J$3627</c:f>
              <c:numCache>
                <c:formatCode>General</c:formatCode>
                <c:ptCount val="70"/>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pt idx="26">
                  <c:v>44</c:v>
                </c:pt>
                <c:pt idx="27">
                  <c:v>45</c:v>
                </c:pt>
                <c:pt idx="28">
                  <c:v>46</c:v>
                </c:pt>
                <c:pt idx="29">
                  <c:v>47</c:v>
                </c:pt>
                <c:pt idx="30">
                  <c:v>48</c:v>
                </c:pt>
                <c:pt idx="31">
                  <c:v>49</c:v>
                </c:pt>
                <c:pt idx="32">
                  <c:v>50</c:v>
                </c:pt>
                <c:pt idx="33">
                  <c:v>51</c:v>
                </c:pt>
                <c:pt idx="34">
                  <c:v>52</c:v>
                </c:pt>
                <c:pt idx="35">
                  <c:v>53</c:v>
                </c:pt>
                <c:pt idx="36">
                  <c:v>54</c:v>
                </c:pt>
                <c:pt idx="37">
                  <c:v>55</c:v>
                </c:pt>
                <c:pt idx="38">
                  <c:v>56</c:v>
                </c:pt>
                <c:pt idx="39">
                  <c:v>57</c:v>
                </c:pt>
                <c:pt idx="40">
                  <c:v>58</c:v>
                </c:pt>
                <c:pt idx="41">
                  <c:v>59</c:v>
                </c:pt>
                <c:pt idx="42">
                  <c:v>60</c:v>
                </c:pt>
                <c:pt idx="43">
                  <c:v>61</c:v>
                </c:pt>
                <c:pt idx="44">
                  <c:v>62</c:v>
                </c:pt>
                <c:pt idx="45">
                  <c:v>63</c:v>
                </c:pt>
                <c:pt idx="46">
                  <c:v>64</c:v>
                </c:pt>
                <c:pt idx="47">
                  <c:v>65</c:v>
                </c:pt>
                <c:pt idx="48">
                  <c:v>66</c:v>
                </c:pt>
                <c:pt idx="49">
                  <c:v>67</c:v>
                </c:pt>
                <c:pt idx="50">
                  <c:v>68</c:v>
                </c:pt>
                <c:pt idx="51">
                  <c:v>69</c:v>
                </c:pt>
                <c:pt idx="52">
                  <c:v>70</c:v>
                </c:pt>
                <c:pt idx="53">
                  <c:v>71</c:v>
                </c:pt>
                <c:pt idx="54">
                  <c:v>72</c:v>
                </c:pt>
                <c:pt idx="55">
                  <c:v>73</c:v>
                </c:pt>
                <c:pt idx="56">
                  <c:v>74</c:v>
                </c:pt>
                <c:pt idx="57">
                  <c:v>75</c:v>
                </c:pt>
                <c:pt idx="58">
                  <c:v>76</c:v>
                </c:pt>
                <c:pt idx="59">
                  <c:v>77</c:v>
                </c:pt>
                <c:pt idx="60">
                  <c:v>78</c:v>
                </c:pt>
                <c:pt idx="61">
                  <c:v>79</c:v>
                </c:pt>
                <c:pt idx="62">
                  <c:v>80</c:v>
                </c:pt>
                <c:pt idx="63">
                  <c:v>81</c:v>
                </c:pt>
                <c:pt idx="64">
                  <c:v>82</c:v>
                </c:pt>
                <c:pt idx="65">
                  <c:v>83</c:v>
                </c:pt>
                <c:pt idx="66">
                  <c:v>84</c:v>
                </c:pt>
                <c:pt idx="67">
                  <c:v>85</c:v>
                </c:pt>
                <c:pt idx="68">
                  <c:v>86</c:v>
                </c:pt>
                <c:pt idx="69">
                  <c:v>87</c:v>
                </c:pt>
              </c:numCache>
            </c:numRef>
          </c:cat>
          <c:val>
            <c:numRef>
              <c:f>'graf_věk-gender'!$N$3558:$N$3627</c:f>
              <c:numCache>
                <c:formatCode>0.00%</c:formatCode>
                <c:ptCount val="70"/>
                <c:pt idx="0">
                  <c:v>0</c:v>
                </c:pt>
                <c:pt idx="1">
                  <c:v>7.7574047954866009E-3</c:v>
                </c:pt>
                <c:pt idx="2">
                  <c:v>1.1636107193229901E-2</c:v>
                </c:pt>
                <c:pt idx="3">
                  <c:v>9.8730606488011286E-3</c:v>
                </c:pt>
                <c:pt idx="4">
                  <c:v>1.9040902679830749E-2</c:v>
                </c:pt>
                <c:pt idx="5">
                  <c:v>2.5740479548660086E-2</c:v>
                </c:pt>
                <c:pt idx="6">
                  <c:v>2.8208744710860368E-2</c:v>
                </c:pt>
                <c:pt idx="7">
                  <c:v>3.6318758815232721E-2</c:v>
                </c:pt>
                <c:pt idx="8">
                  <c:v>3.7376586741889983E-2</c:v>
                </c:pt>
                <c:pt idx="9">
                  <c:v>4.5133991537376586E-2</c:v>
                </c:pt>
                <c:pt idx="10">
                  <c:v>5.2186177715091681E-2</c:v>
                </c:pt>
                <c:pt idx="11">
                  <c:v>5.1833568406205927E-2</c:v>
                </c:pt>
                <c:pt idx="12">
                  <c:v>5.1833568406205927E-2</c:v>
                </c:pt>
                <c:pt idx="13">
                  <c:v>4.9717912552891395E-2</c:v>
                </c:pt>
                <c:pt idx="14">
                  <c:v>4.9012693935119887E-2</c:v>
                </c:pt>
                <c:pt idx="15">
                  <c:v>4.6544428772919602E-2</c:v>
                </c:pt>
                <c:pt idx="16">
                  <c:v>4.2665726375176308E-2</c:v>
                </c:pt>
                <c:pt idx="17">
                  <c:v>3.913963328631876E-2</c:v>
                </c:pt>
                <c:pt idx="18">
                  <c:v>4.0902679830747531E-2</c:v>
                </c:pt>
                <c:pt idx="19">
                  <c:v>3.5260930888575459E-2</c:v>
                </c:pt>
                <c:pt idx="20">
                  <c:v>3.1382228490832158E-2</c:v>
                </c:pt>
                <c:pt idx="21">
                  <c:v>3.244005641748942E-2</c:v>
                </c:pt>
                <c:pt idx="22">
                  <c:v>3.2792665726375174E-2</c:v>
                </c:pt>
                <c:pt idx="23">
                  <c:v>2.0803949224259519E-2</c:v>
                </c:pt>
                <c:pt idx="24">
                  <c:v>2.4682651622002821E-2</c:v>
                </c:pt>
                <c:pt idx="25">
                  <c:v>2.2214386459802539E-2</c:v>
                </c:pt>
                <c:pt idx="26">
                  <c:v>2.1509167842031031E-2</c:v>
                </c:pt>
                <c:pt idx="27">
                  <c:v>1.6925246826516221E-2</c:v>
                </c:pt>
                <c:pt idx="28">
                  <c:v>1.763046544428773E-2</c:v>
                </c:pt>
                <c:pt idx="29">
                  <c:v>1.0930888575458392E-2</c:v>
                </c:pt>
                <c:pt idx="30">
                  <c:v>9.1678420310296188E-3</c:v>
                </c:pt>
                <c:pt idx="31">
                  <c:v>1.1283497884344146E-2</c:v>
                </c:pt>
                <c:pt idx="32">
                  <c:v>8.4626234132581107E-3</c:v>
                </c:pt>
                <c:pt idx="33">
                  <c:v>9.5204513399153746E-3</c:v>
                </c:pt>
                <c:pt idx="34">
                  <c:v>7.404795486600846E-3</c:v>
                </c:pt>
                <c:pt idx="35">
                  <c:v>6.3469675599435822E-3</c:v>
                </c:pt>
                <c:pt idx="36">
                  <c:v>3.526093088857546E-3</c:v>
                </c:pt>
                <c:pt idx="37">
                  <c:v>4.5839210155148094E-3</c:v>
                </c:pt>
                <c:pt idx="38">
                  <c:v>4.2313117066290554E-3</c:v>
                </c:pt>
                <c:pt idx="39">
                  <c:v>2.4682651622002822E-3</c:v>
                </c:pt>
                <c:pt idx="40">
                  <c:v>1.763046544428773E-3</c:v>
                </c:pt>
                <c:pt idx="41">
                  <c:v>2.4682651622002822E-3</c:v>
                </c:pt>
                <c:pt idx="42">
                  <c:v>2.8208744710860366E-3</c:v>
                </c:pt>
                <c:pt idx="43">
                  <c:v>1.763046544428773E-3</c:v>
                </c:pt>
                <c:pt idx="44">
                  <c:v>1.763046544428773E-3</c:v>
                </c:pt>
                <c:pt idx="45">
                  <c:v>1.0578279266572638E-3</c:v>
                </c:pt>
                <c:pt idx="46">
                  <c:v>1.763046544428773E-3</c:v>
                </c:pt>
                <c:pt idx="47">
                  <c:v>2.4682651622002822E-3</c:v>
                </c:pt>
                <c:pt idx="48">
                  <c:v>3.5260930888575458E-4</c:v>
                </c:pt>
                <c:pt idx="49">
                  <c:v>0</c:v>
                </c:pt>
                <c:pt idx="50">
                  <c:v>0</c:v>
                </c:pt>
                <c:pt idx="51">
                  <c:v>7.0521861777150916E-4</c:v>
                </c:pt>
                <c:pt idx="52">
                  <c:v>1.0578279266572638E-3</c:v>
                </c:pt>
                <c:pt idx="53">
                  <c:v>1.0578279266572638E-3</c:v>
                </c:pt>
                <c:pt idx="54">
                  <c:v>0</c:v>
                </c:pt>
                <c:pt idx="55">
                  <c:v>0</c:v>
                </c:pt>
                <c:pt idx="56">
                  <c:v>0</c:v>
                </c:pt>
                <c:pt idx="57">
                  <c:v>0</c:v>
                </c:pt>
                <c:pt idx="58">
                  <c:v>0</c:v>
                </c:pt>
                <c:pt idx="59">
                  <c:v>3.5260930888575458E-4</c:v>
                </c:pt>
                <c:pt idx="60">
                  <c:v>7.0521861777150916E-4</c:v>
                </c:pt>
                <c:pt idx="61">
                  <c:v>3.5260930888575458E-4</c:v>
                </c:pt>
                <c:pt idx="62">
                  <c:v>0</c:v>
                </c:pt>
                <c:pt idx="63">
                  <c:v>0</c:v>
                </c:pt>
                <c:pt idx="64">
                  <c:v>1.0578279266572638E-3</c:v>
                </c:pt>
                <c:pt idx="65">
                  <c:v>0</c:v>
                </c:pt>
                <c:pt idx="66">
                  <c:v>0</c:v>
                </c:pt>
                <c:pt idx="67">
                  <c:v>0</c:v>
                </c:pt>
                <c:pt idx="68">
                  <c:v>0</c:v>
                </c:pt>
                <c:pt idx="69">
                  <c:v>0</c:v>
                </c:pt>
              </c:numCache>
            </c:numRef>
          </c:val>
          <c:smooth val="0"/>
          <c:extLst>
            <c:ext xmlns:c16="http://schemas.microsoft.com/office/drawing/2014/chart" uri="{C3380CC4-5D6E-409C-BE32-E72D297353CC}">
              <c16:uniqueId val="{00000000-DC23-4DF8-94D8-9082B90E1EB6}"/>
            </c:ext>
          </c:extLst>
        </c:ser>
        <c:ser>
          <c:idx val="1"/>
          <c:order val="1"/>
          <c:tx>
            <c:v>věk mužů</c:v>
          </c:tx>
          <c:spPr>
            <a:ln w="28575" cap="rnd">
              <a:solidFill>
                <a:schemeClr val="accent2"/>
              </a:solidFill>
              <a:round/>
            </a:ln>
            <a:effectLst/>
          </c:spPr>
          <c:marker>
            <c:symbol val="none"/>
          </c:marker>
          <c:cat>
            <c:numRef>
              <c:f>'graf_věk-gender'!$J$3558:$J$3627</c:f>
              <c:numCache>
                <c:formatCode>General</c:formatCode>
                <c:ptCount val="70"/>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pt idx="26">
                  <c:v>44</c:v>
                </c:pt>
                <c:pt idx="27">
                  <c:v>45</c:v>
                </c:pt>
                <c:pt idx="28">
                  <c:v>46</c:v>
                </c:pt>
                <c:pt idx="29">
                  <c:v>47</c:v>
                </c:pt>
                <c:pt idx="30">
                  <c:v>48</c:v>
                </c:pt>
                <c:pt idx="31">
                  <c:v>49</c:v>
                </c:pt>
                <c:pt idx="32">
                  <c:v>50</c:v>
                </c:pt>
                <c:pt idx="33">
                  <c:v>51</c:v>
                </c:pt>
                <c:pt idx="34">
                  <c:v>52</c:v>
                </c:pt>
                <c:pt idx="35">
                  <c:v>53</c:v>
                </c:pt>
                <c:pt idx="36">
                  <c:v>54</c:v>
                </c:pt>
                <c:pt idx="37">
                  <c:v>55</c:v>
                </c:pt>
                <c:pt idx="38">
                  <c:v>56</c:v>
                </c:pt>
                <c:pt idx="39">
                  <c:v>57</c:v>
                </c:pt>
                <c:pt idx="40">
                  <c:v>58</c:v>
                </c:pt>
                <c:pt idx="41">
                  <c:v>59</c:v>
                </c:pt>
                <c:pt idx="42">
                  <c:v>60</c:v>
                </c:pt>
                <c:pt idx="43">
                  <c:v>61</c:v>
                </c:pt>
                <c:pt idx="44">
                  <c:v>62</c:v>
                </c:pt>
                <c:pt idx="45">
                  <c:v>63</c:v>
                </c:pt>
                <c:pt idx="46">
                  <c:v>64</c:v>
                </c:pt>
                <c:pt idx="47">
                  <c:v>65</c:v>
                </c:pt>
                <c:pt idx="48">
                  <c:v>66</c:v>
                </c:pt>
                <c:pt idx="49">
                  <c:v>67</c:v>
                </c:pt>
                <c:pt idx="50">
                  <c:v>68</c:v>
                </c:pt>
                <c:pt idx="51">
                  <c:v>69</c:v>
                </c:pt>
                <c:pt idx="52">
                  <c:v>70</c:v>
                </c:pt>
                <c:pt idx="53">
                  <c:v>71</c:v>
                </c:pt>
                <c:pt idx="54">
                  <c:v>72</c:v>
                </c:pt>
                <c:pt idx="55">
                  <c:v>73</c:v>
                </c:pt>
                <c:pt idx="56">
                  <c:v>74</c:v>
                </c:pt>
                <c:pt idx="57">
                  <c:v>75</c:v>
                </c:pt>
                <c:pt idx="58">
                  <c:v>76</c:v>
                </c:pt>
                <c:pt idx="59">
                  <c:v>77</c:v>
                </c:pt>
                <c:pt idx="60">
                  <c:v>78</c:v>
                </c:pt>
                <c:pt idx="61">
                  <c:v>79</c:v>
                </c:pt>
                <c:pt idx="62">
                  <c:v>80</c:v>
                </c:pt>
                <c:pt idx="63">
                  <c:v>81</c:v>
                </c:pt>
                <c:pt idx="64">
                  <c:v>82</c:v>
                </c:pt>
                <c:pt idx="65">
                  <c:v>83</c:v>
                </c:pt>
                <c:pt idx="66">
                  <c:v>84</c:v>
                </c:pt>
                <c:pt idx="67">
                  <c:v>85</c:v>
                </c:pt>
                <c:pt idx="68">
                  <c:v>86</c:v>
                </c:pt>
                <c:pt idx="69">
                  <c:v>87</c:v>
                </c:pt>
              </c:numCache>
            </c:numRef>
          </c:cat>
          <c:val>
            <c:numRef>
              <c:f>'graf_věk-gender'!$O$3558:$O$3627</c:f>
              <c:numCache>
                <c:formatCode>0.00%</c:formatCode>
                <c:ptCount val="70"/>
                <c:pt idx="0">
                  <c:v>0</c:v>
                </c:pt>
                <c:pt idx="1">
                  <c:v>7.4762120525600365E-3</c:v>
                </c:pt>
                <c:pt idx="2">
                  <c:v>8.3824195740824642E-3</c:v>
                </c:pt>
                <c:pt idx="3">
                  <c:v>1.4046216583597644E-2</c:v>
                </c:pt>
                <c:pt idx="4">
                  <c:v>1.5632079746261893E-2</c:v>
                </c:pt>
                <c:pt idx="5">
                  <c:v>2.2202084277299503E-2</c:v>
                </c:pt>
                <c:pt idx="6">
                  <c:v>2.3334843679202539E-2</c:v>
                </c:pt>
                <c:pt idx="7">
                  <c:v>2.5147258722247396E-2</c:v>
                </c:pt>
                <c:pt idx="8">
                  <c:v>2.8998640688717717E-2</c:v>
                </c:pt>
                <c:pt idx="9">
                  <c:v>3.2396918894426821E-2</c:v>
                </c:pt>
                <c:pt idx="10">
                  <c:v>3.6248300860897142E-2</c:v>
                </c:pt>
                <c:pt idx="11">
                  <c:v>3.8740371545083821E-2</c:v>
                </c:pt>
                <c:pt idx="12">
                  <c:v>4.1458994109651107E-2</c:v>
                </c:pt>
                <c:pt idx="13">
                  <c:v>4.3497961033076578E-2</c:v>
                </c:pt>
                <c:pt idx="14">
                  <c:v>3.7834164023561392E-2</c:v>
                </c:pt>
                <c:pt idx="15">
                  <c:v>4.3044857272315364E-2</c:v>
                </c:pt>
                <c:pt idx="16">
                  <c:v>4.1912097870412328E-2</c:v>
                </c:pt>
                <c:pt idx="17">
                  <c:v>4.7349342999546899E-2</c:v>
                </c:pt>
                <c:pt idx="18">
                  <c:v>3.3529678296329857E-2</c:v>
                </c:pt>
                <c:pt idx="19">
                  <c:v>3.8060715903942E-2</c:v>
                </c:pt>
                <c:pt idx="20">
                  <c:v>3.9193475305845035E-2</c:v>
                </c:pt>
                <c:pt idx="21">
                  <c:v>3.0584503851381967E-2</c:v>
                </c:pt>
                <c:pt idx="22">
                  <c:v>2.9451744449478932E-2</c:v>
                </c:pt>
                <c:pt idx="23">
                  <c:v>3.4662437698232892E-2</c:v>
                </c:pt>
                <c:pt idx="24">
                  <c:v>2.6280018124150432E-2</c:v>
                </c:pt>
                <c:pt idx="25">
                  <c:v>2.7639329406434075E-2</c:v>
                </c:pt>
                <c:pt idx="26">
                  <c:v>2.1295876755777075E-2</c:v>
                </c:pt>
                <c:pt idx="27">
                  <c:v>1.6764839148164928E-2</c:v>
                </c:pt>
                <c:pt idx="28">
                  <c:v>1.5632079746261893E-2</c:v>
                </c:pt>
                <c:pt idx="29">
                  <c:v>1.2686905301314002E-2</c:v>
                </c:pt>
                <c:pt idx="30">
                  <c:v>1.1327594019030359E-2</c:v>
                </c:pt>
                <c:pt idx="31">
                  <c:v>1.359311282283643E-2</c:v>
                </c:pt>
                <c:pt idx="32">
                  <c:v>1.3366560942455823E-2</c:v>
                </c:pt>
                <c:pt idx="33">
                  <c:v>1.1101042138649752E-2</c:v>
                </c:pt>
                <c:pt idx="34">
                  <c:v>1.1780697779791573E-2</c:v>
                </c:pt>
                <c:pt idx="35">
                  <c:v>7.9293158133212499E-3</c:v>
                </c:pt>
                <c:pt idx="36">
                  <c:v>9.2886270956048927E-3</c:v>
                </c:pt>
                <c:pt idx="37">
                  <c:v>7.4762120525600365E-3</c:v>
                </c:pt>
                <c:pt idx="38">
                  <c:v>9.5151789759854999E-3</c:v>
                </c:pt>
                <c:pt idx="39">
                  <c:v>5.2106932487539651E-3</c:v>
                </c:pt>
                <c:pt idx="40">
                  <c:v>5.8903488898957865E-3</c:v>
                </c:pt>
                <c:pt idx="41">
                  <c:v>6.1169007702763937E-3</c:v>
                </c:pt>
                <c:pt idx="42">
                  <c:v>7.2496601721794294E-3</c:v>
                </c:pt>
                <c:pt idx="43">
                  <c:v>4.9841413683733571E-3</c:v>
                </c:pt>
                <c:pt idx="44">
                  <c:v>5.4372451291345722E-3</c:v>
                </c:pt>
                <c:pt idx="45">
                  <c:v>3.3982782057091075E-3</c:v>
                </c:pt>
                <c:pt idx="46">
                  <c:v>3.1717263253285004E-3</c:v>
                </c:pt>
                <c:pt idx="47">
                  <c:v>6.3434526506570008E-3</c:v>
                </c:pt>
                <c:pt idx="48">
                  <c:v>2.4920706841866785E-3</c:v>
                </c:pt>
                <c:pt idx="49">
                  <c:v>2.7186225645672861E-3</c:v>
                </c:pt>
                <c:pt idx="50">
                  <c:v>1.8124150430448573E-3</c:v>
                </c:pt>
                <c:pt idx="51">
                  <c:v>3.3982782057091075E-3</c:v>
                </c:pt>
                <c:pt idx="52">
                  <c:v>1.8124150430448573E-3</c:v>
                </c:pt>
                <c:pt idx="53">
                  <c:v>1.1327594019030357E-3</c:v>
                </c:pt>
                <c:pt idx="54">
                  <c:v>1.8124150430448573E-3</c:v>
                </c:pt>
                <c:pt idx="55">
                  <c:v>1.5858631626642502E-3</c:v>
                </c:pt>
                <c:pt idx="56">
                  <c:v>9.0620752152242867E-4</c:v>
                </c:pt>
                <c:pt idx="57">
                  <c:v>9.0620752152242867E-4</c:v>
                </c:pt>
                <c:pt idx="58">
                  <c:v>4.5310376076121433E-4</c:v>
                </c:pt>
                <c:pt idx="59">
                  <c:v>9.0620752152242867E-4</c:v>
                </c:pt>
                <c:pt idx="60">
                  <c:v>2.2655188038060717E-4</c:v>
                </c:pt>
                <c:pt idx="61">
                  <c:v>9.0620752152242867E-4</c:v>
                </c:pt>
                <c:pt idx="62">
                  <c:v>0</c:v>
                </c:pt>
                <c:pt idx="63">
                  <c:v>6.7965564114182153E-4</c:v>
                </c:pt>
                <c:pt idx="64">
                  <c:v>2.2655188038060717E-4</c:v>
                </c:pt>
                <c:pt idx="65">
                  <c:v>4.5310376076121433E-4</c:v>
                </c:pt>
                <c:pt idx="66">
                  <c:v>6.7965564114182153E-4</c:v>
                </c:pt>
                <c:pt idx="67">
                  <c:v>0</c:v>
                </c:pt>
                <c:pt idx="68">
                  <c:v>0</c:v>
                </c:pt>
                <c:pt idx="69">
                  <c:v>2.2655188038060717E-4</c:v>
                </c:pt>
              </c:numCache>
            </c:numRef>
          </c:val>
          <c:smooth val="0"/>
          <c:extLst>
            <c:ext xmlns:c16="http://schemas.microsoft.com/office/drawing/2014/chart" uri="{C3380CC4-5D6E-409C-BE32-E72D297353CC}">
              <c16:uniqueId val="{00000001-DC23-4DF8-94D8-9082B90E1EB6}"/>
            </c:ext>
          </c:extLst>
        </c:ser>
        <c:dLbls>
          <c:showLegendKey val="0"/>
          <c:showVal val="0"/>
          <c:showCatName val="0"/>
          <c:showSerName val="0"/>
          <c:showPercent val="0"/>
          <c:showBubbleSize val="0"/>
        </c:dLbls>
        <c:smooth val="0"/>
        <c:axId val="495487792"/>
        <c:axId val="495484512"/>
      </c:lineChart>
      <c:catAx>
        <c:axId val="49548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95484512"/>
        <c:crosses val="autoZero"/>
        <c:auto val="1"/>
        <c:lblAlgn val="ctr"/>
        <c:lblOffset val="100"/>
        <c:noMultiLvlLbl val="0"/>
      </c:catAx>
      <c:valAx>
        <c:axId val="495484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95487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58-4D6B-B235-09347DD451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58-4D6B-B235-09347DD451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58-4D6B-B235-09347DD451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58-4D6B-B235-09347DD451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A!$C$19:$K$19</c:f>
              <c:strCache>
                <c:ptCount val="4"/>
                <c:pt idx="0">
                  <c:v>0-4 roky</c:v>
                </c:pt>
                <c:pt idx="1">
                  <c:v>5 až 9 let</c:v>
                </c:pt>
                <c:pt idx="2">
                  <c:v>10 až 19 let</c:v>
                </c:pt>
                <c:pt idx="3">
                  <c:v>20 a více let</c:v>
                </c:pt>
              </c:strCache>
            </c:strRef>
          </c:cat>
          <c:val>
            <c:numRef>
              <c:f>A!$C$20:$K$20</c:f>
              <c:numCache>
                <c:formatCode>0.00%</c:formatCode>
                <c:ptCount val="4"/>
                <c:pt idx="0">
                  <c:v>0.51288782816229117</c:v>
                </c:pt>
                <c:pt idx="1">
                  <c:v>0.25746282357260875</c:v>
                </c:pt>
                <c:pt idx="2">
                  <c:v>0.11143748852579402</c:v>
                </c:pt>
                <c:pt idx="3">
                  <c:v>1.3016339269322563E-2</c:v>
                </c:pt>
              </c:numCache>
            </c:numRef>
          </c:val>
          <c:extLst>
            <c:ext xmlns:c16="http://schemas.microsoft.com/office/drawing/2014/chart" uri="{C3380CC4-5D6E-409C-BE32-E72D297353CC}">
              <c16:uniqueId val="{00000008-5358-4D6B-B235-09347DD451F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3F-4EB4-875C-F72C320360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3F-4EB4-875C-F72C320360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A3F-4EB4-875C-F72C320360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A3F-4EB4-875C-F72C32036033}"/>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'tab+grf_věk'!$F$29:$F$32</c:f>
              <c:strCache>
                <c:ptCount val="4"/>
                <c:pt idx="0">
                  <c:v>0 až 4 roky</c:v>
                </c:pt>
                <c:pt idx="1">
                  <c:v>5 až 9 let</c:v>
                </c:pt>
                <c:pt idx="2">
                  <c:v>10 až 19 let</c:v>
                </c:pt>
                <c:pt idx="3">
                  <c:v>20 a více let</c:v>
                </c:pt>
              </c:strCache>
            </c:strRef>
          </c:cat>
          <c:val>
            <c:numRef>
              <c:f>'tab+grf_věk'!$G$29:$G$32</c:f>
              <c:numCache>
                <c:formatCode>General</c:formatCode>
                <c:ptCount val="4"/>
                <c:pt idx="0">
                  <c:v>1531</c:v>
                </c:pt>
                <c:pt idx="1">
                  <c:v>1063</c:v>
                </c:pt>
                <c:pt idx="2">
                  <c:v>817</c:v>
                </c:pt>
                <c:pt idx="3">
                  <c:v>214</c:v>
                </c:pt>
              </c:numCache>
            </c:numRef>
          </c:val>
          <c:extLst>
            <c:ext xmlns:c16="http://schemas.microsoft.com/office/drawing/2014/chart" uri="{C3380CC4-5D6E-409C-BE32-E72D297353CC}">
              <c16:uniqueId val="{00000008-2A3F-4EB4-875C-F72C3203603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243083880442921"/>
          <c:y val="0.63629160840876198"/>
          <c:w val="0.21937894882253292"/>
          <c:h val="0.3504697426840336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'DATA věk úprava'!$N$2637:$N$2713</cx:f>
        <cx:lvl ptCount="77">
          <cx:pt idx="0">18</cx:pt>
          <cx:pt idx="1">19</cx:pt>
          <cx:pt idx="2">20</cx:pt>
          <cx:pt idx="3">21</cx:pt>
          <cx:pt idx="4">22</cx:pt>
          <cx:pt idx="5">23</cx:pt>
          <cx:pt idx="6">24</cx:pt>
          <cx:pt idx="7">25</cx:pt>
          <cx:pt idx="8">26</cx:pt>
          <cx:pt idx="9">27</cx:pt>
          <cx:pt idx="10">28</cx:pt>
          <cx:pt idx="11">29</cx:pt>
          <cx:pt idx="12">30</cx:pt>
          <cx:pt idx="13">31</cx:pt>
          <cx:pt idx="14">32</cx:pt>
          <cx:pt idx="15">33</cx:pt>
          <cx:pt idx="16">34</cx:pt>
          <cx:pt idx="17">35</cx:pt>
          <cx:pt idx="18">36</cx:pt>
          <cx:pt idx="19">37</cx:pt>
          <cx:pt idx="20">38</cx:pt>
          <cx:pt idx="21">39</cx:pt>
          <cx:pt idx="22">40</cx:pt>
          <cx:pt idx="23">41</cx:pt>
          <cx:pt idx="24">42</cx:pt>
          <cx:pt idx="25">43</cx:pt>
          <cx:pt idx="26">44</cx:pt>
          <cx:pt idx="27">45</cx:pt>
          <cx:pt idx="28">46</cx:pt>
          <cx:pt idx="29">47</cx:pt>
          <cx:pt idx="30">48</cx:pt>
          <cx:pt idx="31">49</cx:pt>
          <cx:pt idx="32">50</cx:pt>
          <cx:pt idx="33">51</cx:pt>
          <cx:pt idx="34">52</cx:pt>
          <cx:pt idx="35">53</cx:pt>
          <cx:pt idx="36">54</cx:pt>
          <cx:pt idx="37">55</cx:pt>
          <cx:pt idx="38">56</cx:pt>
          <cx:pt idx="39">57</cx:pt>
          <cx:pt idx="40">58</cx:pt>
          <cx:pt idx="41">59</cx:pt>
          <cx:pt idx="42">60</cx:pt>
          <cx:pt idx="43">61</cx:pt>
          <cx:pt idx="44">62</cx:pt>
          <cx:pt idx="45">63</cx:pt>
          <cx:pt idx="46">64</cx:pt>
          <cx:pt idx="47">65</cx:pt>
          <cx:pt idx="48">66</cx:pt>
          <cx:pt idx="49">67</cx:pt>
          <cx:pt idx="50">68</cx:pt>
          <cx:pt idx="51">69</cx:pt>
          <cx:pt idx="52">70</cx:pt>
          <cx:pt idx="53">71</cx:pt>
          <cx:pt idx="54">72</cx:pt>
          <cx:pt idx="55">73</cx:pt>
          <cx:pt idx="56">74</cx:pt>
          <cx:pt idx="57">75</cx:pt>
          <cx:pt idx="58">76</cx:pt>
          <cx:pt idx="59">77</cx:pt>
          <cx:pt idx="60">78</cx:pt>
          <cx:pt idx="61">79</cx:pt>
          <cx:pt idx="62">80</cx:pt>
          <cx:pt idx="63">81</cx:pt>
          <cx:pt idx="64">82</cx:pt>
          <cx:pt idx="65">83</cx:pt>
          <cx:pt idx="66">84</cx:pt>
          <cx:pt idx="67">85</cx:pt>
          <cx:pt idx="68">86</cx:pt>
          <cx:pt idx="69">87</cx:pt>
          <cx:pt idx="70">88</cx:pt>
          <cx:pt idx="71">89</cx:pt>
          <cx:pt idx="72">90</cx:pt>
          <cx:pt idx="73">91</cx:pt>
          <cx:pt idx="74">92</cx:pt>
          <cx:pt idx="75">93</cx:pt>
          <cx:pt idx="76">94</cx:pt>
        </cx:lvl>
      </cx:strDim>
      <cx:numDim type="val">
        <cx:f>'DATA věk úprava'!$Q$2637:$Q$2713</cx:f>
        <cx:lvl ptCount="77" formatCode="0">
          <cx:pt idx="0">0</cx:pt>
          <cx:pt idx="1">3</cx:pt>
          <cx:pt idx="2">6</cx:pt>
          <cx:pt idx="3">18</cx:pt>
          <cx:pt idx="4">22</cx:pt>
          <cx:pt idx="5">39</cx:pt>
          <cx:pt idx="6">53</cx:pt>
          <cx:pt idx="7">70</cx:pt>
          <cx:pt idx="8">89</cx:pt>
          <cx:pt idx="9">128</cx:pt>
          <cx:pt idx="10">108</cx:pt>
          <cx:pt idx="11">150</cx:pt>
          <cx:pt idx="12">149</cx:pt>
          <cx:pt idx="13">171</cx:pt>
          <cx:pt idx="14">159</cx:pt>
          <cx:pt idx="15">162</cx:pt>
          <cx:pt idx="16">185</cx:pt>
          <cx:pt idx="17">177</cx:pt>
          <cx:pt idx="18">187</cx:pt>
          <cx:pt idx="19">182</cx:pt>
          <cx:pt idx="20">212</cx:pt>
          <cx:pt idx="21">197</cx:pt>
          <cx:pt idx="22">206</cx:pt>
          <cx:pt idx="23">211</cx:pt>
          <cx:pt idx="24">216</cx:pt>
          <cx:pt idx="25">218</cx:pt>
          <cx:pt idx="26">199</cx:pt>
          <cx:pt idx="27">226</cx:pt>
          <cx:pt idx="28">207</cx:pt>
          <cx:pt idx="29">137</cx:pt>
          <cx:pt idx="30">111</cx:pt>
          <cx:pt idx="31">110</cx:pt>
          <cx:pt idx="32">96</cx:pt>
          <cx:pt idx="33">87</cx:pt>
          <cx:pt idx="34">89</cx:pt>
          <cx:pt idx="35">71</cx:pt>
          <cx:pt idx="36">81</cx:pt>
          <cx:pt idx="37">79</cx:pt>
          <cx:pt idx="38">70</cx:pt>
          <cx:pt idx="39">58</cx:pt>
          <cx:pt idx="40">40</cx:pt>
          <cx:pt idx="41">36</cx:pt>
          <cx:pt idx="42">37</cx:pt>
          <cx:pt idx="43">41</cx:pt>
          <cx:pt idx="44">33</cx:pt>
          <cx:pt idx="45">39</cx:pt>
          <cx:pt idx="46">28</cx:pt>
          <cx:pt idx="47">21</cx:pt>
          <cx:pt idx="48">19</cx:pt>
          <cx:pt idx="49">20</cx:pt>
          <cx:pt idx="50">24</cx:pt>
          <cx:pt idx="51">26</cx:pt>
          <cx:pt idx="52">9</cx:pt>
          <cx:pt idx="53">14</cx:pt>
          <cx:pt idx="54">20</cx:pt>
          <cx:pt idx="55">15</cx:pt>
          <cx:pt idx="56">7</cx:pt>
          <cx:pt idx="57">8</cx:pt>
          <cx:pt idx="58">11</cx:pt>
          <cx:pt idx="59">4</cx:pt>
          <cx:pt idx="60">5</cx:pt>
          <cx:pt idx="61">1</cx:pt>
          <cx:pt idx="62">2</cx:pt>
          <cx:pt idx="63">1</cx:pt>
          <cx:pt idx="64">6</cx:pt>
          <cx:pt idx="65">2</cx:pt>
          <cx:pt idx="66">2</cx:pt>
          <cx:pt idx="67">1</cx:pt>
          <cx:pt idx="68">1</cx:pt>
          <cx:pt idx="69">0</cx:pt>
          <cx:pt idx="70">1</cx:pt>
          <cx:pt idx="71">0</cx:pt>
          <cx:pt idx="72">1</cx:pt>
          <cx:pt idx="73">2</cx:pt>
          <cx:pt idx="74">1</cx:pt>
          <cx:pt idx="75">1</cx:pt>
          <cx:pt idx="76">1</cx:pt>
        </cx:lvl>
      </cx:numDim>
    </cx:data>
  </cx:chartData>
  <cx:chart>
    <cx:plotArea>
      <cx:plotAreaRegion>
        <cx:series layoutId="funnel" uniqueId="{36981B4D-3B49-4127-9EB2-0F5D0F1A6609}">
          <cx:tx>
            <cx:txData>
              <cx:f>'DATA věk úprava'!$Q$2636</cx:f>
              <cx:v>věk v '19</cx:v>
            </cx:txData>
          </cx:tx>
          <cx:dataLabels>
            <cx:visibility seriesName="0" categoryName="0" value="1"/>
          </cx:dataLabels>
          <cx:dataId val="0"/>
        </cx:series>
      </cx:plotAreaRegion>
      <cx:axis id="0" hidden="1">
        <cx:catScaling gapWidth="0.0599999987"/>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RS!$A$25:$A$107</cx:f>
        <cx:lvl ptCount="83">
          <cx:pt idx="0">18</cx:pt>
          <cx:pt idx="1">19</cx:pt>
          <cx:pt idx="2">20</cx:pt>
          <cx:pt idx="3">21</cx:pt>
          <cx:pt idx="4">22</cx:pt>
          <cx:pt idx="5">23</cx:pt>
          <cx:pt idx="6">24</cx:pt>
          <cx:pt idx="7">25</cx:pt>
          <cx:pt idx="8">26</cx:pt>
          <cx:pt idx="9">27</cx:pt>
          <cx:pt idx="10">28</cx:pt>
          <cx:pt idx="11">29</cx:pt>
          <cx:pt idx="12">30</cx:pt>
          <cx:pt idx="13">31</cx:pt>
          <cx:pt idx="14">32</cx:pt>
          <cx:pt idx="15">33</cx:pt>
          <cx:pt idx="16">34</cx:pt>
          <cx:pt idx="17">35</cx:pt>
          <cx:pt idx="18">36</cx:pt>
          <cx:pt idx="19">37</cx:pt>
          <cx:pt idx="20">38</cx:pt>
          <cx:pt idx="21">39</cx:pt>
          <cx:pt idx="22">40</cx:pt>
          <cx:pt idx="23">41</cx:pt>
          <cx:pt idx="24">42</cx:pt>
          <cx:pt idx="25">43</cx:pt>
          <cx:pt idx="26">44</cx:pt>
          <cx:pt idx="27">45</cx:pt>
          <cx:pt idx="28">46</cx:pt>
          <cx:pt idx="29">47</cx:pt>
          <cx:pt idx="30">48</cx:pt>
          <cx:pt idx="31">49</cx:pt>
          <cx:pt idx="32">50</cx:pt>
          <cx:pt idx="33">51</cx:pt>
          <cx:pt idx="34">52</cx:pt>
          <cx:pt idx="35">53</cx:pt>
          <cx:pt idx="36">54</cx:pt>
          <cx:pt idx="37">55</cx:pt>
          <cx:pt idx="38">56</cx:pt>
          <cx:pt idx="39">57</cx:pt>
          <cx:pt idx="40">58</cx:pt>
          <cx:pt idx="41">59</cx:pt>
          <cx:pt idx="42">60</cx:pt>
          <cx:pt idx="43">61</cx:pt>
          <cx:pt idx="44">62</cx:pt>
          <cx:pt idx="45">63</cx:pt>
          <cx:pt idx="46">64</cx:pt>
          <cx:pt idx="47">65</cx:pt>
          <cx:pt idx="48">66</cx:pt>
          <cx:pt idx="49">67</cx:pt>
          <cx:pt idx="50">68</cx:pt>
          <cx:pt idx="51">69</cx:pt>
          <cx:pt idx="52">70</cx:pt>
          <cx:pt idx="53">71</cx:pt>
          <cx:pt idx="54">72</cx:pt>
          <cx:pt idx="55">73</cx:pt>
          <cx:pt idx="56">74</cx:pt>
          <cx:pt idx="57">75</cx:pt>
          <cx:pt idx="58">76</cx:pt>
          <cx:pt idx="59">77</cx:pt>
          <cx:pt idx="60">78</cx:pt>
          <cx:pt idx="61">79</cx:pt>
          <cx:pt idx="62">80</cx:pt>
          <cx:pt idx="63">81</cx:pt>
          <cx:pt idx="64">82</cx:pt>
          <cx:pt idx="65">83</cx:pt>
          <cx:pt idx="66">84</cx:pt>
          <cx:pt idx="67">85</cx:pt>
          <cx:pt idx="68">86</cx:pt>
          <cx:pt idx="69">87</cx:pt>
          <cx:pt idx="70">88</cx:pt>
          <cx:pt idx="71">89</cx:pt>
          <cx:pt idx="72">90</cx:pt>
          <cx:pt idx="73">91</cx:pt>
          <cx:pt idx="74">92</cx:pt>
          <cx:pt idx="75">93</cx:pt>
          <cx:pt idx="76">94</cx:pt>
          <cx:pt idx="77">95</cx:pt>
          <cx:pt idx="78">96</cx:pt>
          <cx:pt idx="79">97</cx:pt>
          <cx:pt idx="80">98</cx:pt>
          <cx:pt idx="81">99</cx:pt>
          <cx:pt idx="82">100+</cx:pt>
        </cx:lvl>
      </cx:strDim>
      <cx:numDim type="val">
        <cx:f>RS!$K$25:$K$107</cx:f>
        <cx:lvl ptCount="83" formatCode="# ##0">
          <cx:pt idx="0">88</cx:pt>
          <cx:pt idx="1">294</cx:pt>
          <cx:pt idx="2">808</cx:pt>
          <cx:pt idx="3">1645</cx:pt>
          <cx:pt idx="4">3056</cx:pt>
          <cx:pt idx="5">5137</cx:pt>
          <cx:pt idx="6">8070</cx:pt>
          <cx:pt idx="7">12675</cx:pt>
          <cx:pt idx="8">19083</cx:pt>
          <cx:pt idx="9">24856</cx:pt>
          <cx:pt idx="10">31964</cx:pt>
          <cx:pt idx="11">38565</cx:pt>
          <cx:pt idx="12">43324</cx:pt>
          <cx:pt idx="13">50140</cx:pt>
          <cx:pt idx="14">54118</cx:pt>
          <cx:pt idx="15">59003</cx:pt>
          <cx:pt idx="16">63409</cx:pt>
          <cx:pt idx="17">67016</cx:pt>
          <cx:pt idx="18">69809</cx:pt>
          <cx:pt idx="19">74353</cx:pt>
          <cx:pt idx="20">77144</cx:pt>
          <cx:pt idx="21">83668</cx:pt>
          <cx:pt idx="22">93999</cx:pt>
          <cx:pt idx="23">98804</cx:pt>
          <cx:pt idx="24">101844</cx:pt>
          <cx:pt idx="25">106009</cx:pt>
          <cx:pt idx="26">108653</cx:pt>
          <cx:pt idx="27">110091</cx:pt>
          <cx:pt idx="28">104086</cx:pt>
          <cx:pt idx="29">94596</cx:pt>
          <cx:pt idx="30">90037</cx:pt>
          <cx:pt idx="31">86606</cx:pt>
          <cx:pt idx="32">83220</cx:pt>
          <cx:pt idx="33">79118</cx:pt>
          <cx:pt idx="34">79836</cx:pt>
          <cx:pt idx="35">81172</cx:pt>
          <cx:pt idx="36">84712</cx:pt>
          <cx:pt idx="37">89074</cx:pt>
          <cx:pt idx="38">86372</cx:pt>
          <cx:pt idx="39">78372</cx:pt>
          <cx:pt idx="40">77029</cx:pt>
          <cx:pt idx="41">75420</cx:pt>
          <cx:pt idx="42">74964</cx:pt>
          <cx:pt idx="43">80748</cx:pt>
          <cx:pt idx="44">86235</cx:pt>
          <cx:pt idx="45">89027</cx:pt>
          <cx:pt idx="46">89097</cx:pt>
          <cx:pt idx="47">88507</cx:pt>
          <cx:pt idx="48">87946</cx:pt>
          <cx:pt idx="49">88315</cx:pt>
          <cx:pt idx="50">86927</cx:pt>
          <cx:pt idx="51">83325</cx:pt>
          <cx:pt idx="52">79129</cx:pt>
          <cx:pt idx="53">79216</cx:pt>
          <cx:pt idx="54">79028</cx:pt>
          <cx:pt idx="55">73199</cx:pt>
          <cx:pt idx="56">55083</cx:pt>
          <cx:pt idx="57">54912</cx:pt>
          <cx:pt idx="58">49995</cx:pt>
          <cx:pt idx="59">41204</cx:pt>
          <cx:pt idx="60">36367</cx:pt>
          <cx:pt idx="61">32464</cx:pt>
          <cx:pt idx="62">25579</cx:pt>
          <cx:pt idx="63">22070</cx:pt>
          <cx:pt idx="64">18198</cx:pt>
          <cx:pt idx="65">15449</cx:pt>
          <cx:pt idx="66">13258</cx:pt>
          <cx:pt idx="67">11198</cx:pt>
          <cx:pt idx="68">9394</cx:pt>
          <cx:pt idx="69">7681</cx:pt>
          <cx:pt idx="70">5996</cx:pt>
          <cx:pt idx="71">4600</cx:pt>
          <cx:pt idx="72">3058</cx:pt>
          <cx:pt idx="73">2216</cx:pt>
          <cx:pt idx="74">1523</cx:pt>
          <cx:pt idx="75">1057</cx:pt>
          <cx:pt idx="76">686</cx:pt>
          <cx:pt idx="77">427</cx:pt>
          <cx:pt idx="78">298</cx:pt>
          <cx:pt idx="79">206</cx:pt>
          <cx:pt idx="80">116</cx:pt>
          <cx:pt idx="81">56</cx:pt>
          <cx:pt idx="82">154</cx:pt>
        </cx:lvl>
      </cx:numDim>
    </cx:data>
  </cx:chartData>
  <cx:chart>
    <cx:plotArea>
      <cx:plotAreaRegion>
        <cx:series layoutId="funnel" uniqueId="{DB5406C9-B8DB-410B-AAB9-2EC37D97384D}">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4658-692E-407F-A1F0-C6F6A7BF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2010</Words>
  <Characters>11861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SOU AV CR</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filip.lachmann</dc:creator>
  <cp:keywords/>
  <dc:description/>
  <cp:lastModifiedBy>filip.lachmann</cp:lastModifiedBy>
  <cp:revision>6</cp:revision>
  <cp:lastPrinted>2020-06-26T10:35:00Z</cp:lastPrinted>
  <dcterms:created xsi:type="dcterms:W3CDTF">2020-06-26T10:49:00Z</dcterms:created>
  <dcterms:modified xsi:type="dcterms:W3CDTF">2020-07-08T08:00:00Z</dcterms:modified>
</cp:coreProperties>
</file>