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CF6782" w14:textId="3F0609EE" w:rsidR="009B0F6F" w:rsidRDefault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</w:pPr>
      <w:r w:rsidRPr="00D0062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První pozorování řízeného přenosu elektronu </w:t>
      </w:r>
      <w:r>
        <w:br/>
      </w:r>
      <w:r w:rsidRPr="00D00625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v rámci jedné molekuly</w:t>
      </w:r>
    </w:p>
    <w:p w14:paraId="10C2D9B2" w14:textId="645056D2" w:rsidR="009B0F6F" w:rsidRDefault="00B375C2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</w:pP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Praha, </w:t>
      </w:r>
      <w:r w:rsidR="00D00625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19</w:t>
      </w: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. </w:t>
      </w:r>
      <w:r w:rsidR="00D00625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března</w:t>
      </w: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 202</w:t>
      </w:r>
      <w:r w:rsidR="00AA27BB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0</w:t>
      </w:r>
    </w:p>
    <w:p w14:paraId="1619CE58" w14:textId="0FB67985" w:rsid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Tým českých vědců poprvé demonstroval řízený přenos elektronu v rámci jedné molekuly.  Práce publikovaná v časopise </w:t>
      </w:r>
      <w:proofErr w:type="spellStart"/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Nature</w:t>
      </w:r>
      <w:proofErr w:type="spellEnd"/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Communications přináší důležité poznatky nejen o</w:t>
      </w:r>
      <w:r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 </w:t>
      </w:r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jednom z klíčových procesů ve fyzice, chemii a biologii</w:t>
      </w:r>
      <w:r w:rsidR="004F767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,</w:t>
      </w:r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ale též představuje inspiraci pro konstrukci kvantových počítačů na bázi molekulárních celulárních automatů či </w:t>
      </w:r>
      <w:proofErr w:type="spellStart"/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superkapacitátorů</w:t>
      </w:r>
      <w:proofErr w:type="spellEnd"/>
      <w:r w:rsidRPr="00D00625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pro ukládání energie v jednotlivých molekulách</w:t>
      </w:r>
      <w:r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.</w:t>
      </w:r>
    </w:p>
    <w:p w14:paraId="2804340C" w14:textId="44255929" w:rsid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„Podařilo se nám uskutečnit řízený přenos elektronu v rámci jedné izolované molekuly a</w:t>
      </w:r>
      <w:r w:rsidR="003D4BA5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 </w:t>
      </w:r>
      <w:r w:rsidRPr="00D00625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zároveň změřit množství energie, která se během tohoto procesu uvolní do okolí. Tato měření podpořená teoretickým modelem přinášejí detailní poznatky o kvantově mechanických procesech, jakými jsou přenos náboje a přeměna energie na atomární úrovni,“</w:t>
      </w: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vysvětluje Pavel Jelínek z Fyzikálního ústavu Akademie věd ČR. </w:t>
      </w:r>
    </w:p>
    <w:p w14:paraId="19892CDD" w14:textId="77777777" w:rsid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Za účelem realizace této studie vědci navrhli molekulu, která obsahuje dva atomy železa chemicky vázaného ve </w:t>
      </w:r>
      <w:proofErr w:type="spellStart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ferrocenových</w:t>
      </w:r>
      <w:proofErr w:type="spellEnd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jednotkách. Tato tzv. redoxní centra o definované vzdálenosti pak slouží jako rezervoáry, mezi nimiž se přenos elektronu (tj. jednotkového náboje) odehrává. Molekuly byly umístěny na povrch kuchyňské soli a měření probíhala za podmínek </w:t>
      </w:r>
      <w:proofErr w:type="spellStart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ultravysokého</w:t>
      </w:r>
      <w:proofErr w:type="spellEnd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vakua. Pro řízený přenos elektronu mezi </w:t>
      </w:r>
      <w:proofErr w:type="spellStart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ferrocenovými</w:t>
      </w:r>
      <w:proofErr w:type="spellEnd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jednotkami a určení polohy náboje vědci použili mikroskop atomárních sil. Ten zároveň umožnil detekovat energii, která se během přenosu elektronu nenávratně uvolnila do okolí.</w:t>
      </w:r>
    </w:p>
    <w:p w14:paraId="644688D1" w14:textId="77777777" w:rsid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Následná teoretická analýza ukázala, že opakovaný přenos elektronů vyvolaný oscilující sondou mikroskopu atomárních sil dostává systém z termální rovnováhy, což způsobuje slabou teplotní závislost rychlosti přenosu elektronu mezi </w:t>
      </w:r>
      <w:proofErr w:type="spellStart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ferrocenovými</w:t>
      </w:r>
      <w:proofErr w:type="spellEnd"/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jednotkami. </w:t>
      </w:r>
    </w:p>
    <w:p w14:paraId="741FD46D" w14:textId="727742B2" w:rsidR="00D00625" w:rsidRP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Důležitým předpokladem pro úspěšný nástup kvantových technologií je detailní znalost základních procesů, na nichž jsou založeny, tj. na přenosu náboje a s tím spojené přeměně energie na atomární úrovni. Přenos elektronu v molekulách hraje významnou roli i v mnoha biologických a chemických pochodech, jakými jsou například fotosyntéza, koroze či řada enzymatických reakcí. Přes zásadní význam těchto procesů a vynaložené úsilí jim porozumět </w:t>
      </w: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lastRenderedPageBreak/>
        <w:t>jsou naše současné možnosti studia a řízení přenosu náboje na úrovni jednotlivých atomů či molekul stále značně omezené.</w:t>
      </w:r>
    </w:p>
    <w:p w14:paraId="3A4A5DD4" w14:textId="3EF61785" w:rsidR="00D00625" w:rsidRDefault="00D00625" w:rsidP="00D00625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Práce multidisciplinárního týmu českých vědců z Fyzikálního ústavu AV ČR, Ústavu organické chemie a biochemie AV ČR, Matematicko-fyzikální fakulty Univerzity Karlovy a Regionálního centra pokročilých technologií a materiálů Univerzity Palackého v Olomouci představuje významný krok vpřed pro pochopení kvantových procesů spojených s přenosem elektronu v</w:t>
      </w:r>
      <w:r w:rsidR="003D4BA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 </w:t>
      </w:r>
      <w:r w:rsidRPr="00D0062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jednotlivých molekulách a s tím spojené přeměny energie.</w:t>
      </w:r>
    </w:p>
    <w:p w14:paraId="3365587A" w14:textId="77777777" w:rsidR="00383ED3" w:rsidRDefault="00383ED3" w:rsidP="00383ED3">
      <w:pPr>
        <w:pStyle w:val="Bezmezer"/>
        <w:rPr>
          <w:rStyle w:val="None"/>
          <w:rFonts w:ascii="Calibri" w:eastAsia="Calibri" w:hAnsi="Calibri" w:cs="Calibri"/>
          <w:b/>
          <w:bCs/>
          <w:color w:val="000000"/>
          <w:u w:color="000000"/>
        </w:rPr>
      </w:pPr>
      <w:bookmarkStart w:id="0" w:name="_GoBack"/>
      <w:bookmarkEnd w:id="0"/>
    </w:p>
    <w:p w14:paraId="4D734EBB" w14:textId="1BCD7099" w:rsidR="009B0F6F" w:rsidRDefault="00B375C2" w:rsidP="003701F2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 w:rsidRPr="003701F2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Kontakt: </w:t>
      </w:r>
    </w:p>
    <w:p w14:paraId="2133DECD" w14:textId="551241BF" w:rsidR="00D00625" w:rsidRPr="00383ED3" w:rsidRDefault="00D00625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  <w:r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Pavel Jel</w:t>
      </w:r>
      <w:r w:rsidR="00383ED3">
        <w:rPr>
          <w:rStyle w:val="None"/>
          <w:rFonts w:ascii="Calibri" w:eastAsia="Calibri" w:hAnsi="Calibri" w:cs="Calibri"/>
          <w:u w:color="000000"/>
          <w:lang w:val="cs-CZ" w:eastAsia="cs-CZ"/>
        </w:rPr>
        <w:t>í</w:t>
      </w:r>
      <w:r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nek Fyzikální ústav AV ČR</w:t>
      </w:r>
    </w:p>
    <w:p w14:paraId="6B6CD4F5" w14:textId="484D4487" w:rsidR="00D00625" w:rsidRPr="00383ED3" w:rsidRDefault="00383ED3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  <w:r>
        <w:rPr>
          <w:rStyle w:val="None"/>
          <w:rFonts w:ascii="Calibri" w:eastAsia="Calibri" w:hAnsi="Calibri" w:cs="Calibri"/>
          <w:u w:color="000000"/>
          <w:lang w:val="cs-CZ" w:eastAsia="cs-CZ"/>
        </w:rPr>
        <w:t>e-</w:t>
      </w:r>
      <w:r w:rsidR="00D00625"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 xml:space="preserve">mail: </w:t>
      </w:r>
      <w:hyperlink r:id="rId9" w:history="1">
        <w:r w:rsidR="00D00625" w:rsidRPr="00383ED3">
          <w:rPr>
            <w:rStyle w:val="None"/>
            <w:rFonts w:ascii="Calibri" w:eastAsia="Calibri" w:hAnsi="Calibri" w:cs="Calibri"/>
            <w:color w:val="000000"/>
            <w:u w:color="000000"/>
            <w:lang w:val="cs-CZ" w:eastAsia="cs-CZ"/>
          </w:rPr>
          <w:t>pavel.jelinek@fzu.cz</w:t>
        </w:r>
      </w:hyperlink>
      <w:r>
        <w:rPr>
          <w:rStyle w:val="None"/>
          <w:rFonts w:ascii="Calibri" w:eastAsia="Calibri" w:hAnsi="Calibri" w:cs="Calibri"/>
          <w:color w:val="000000"/>
          <w:u w:color="000000"/>
          <w:lang w:val="cs-CZ" w:eastAsia="cs-CZ"/>
        </w:rPr>
        <w:t>, t</w:t>
      </w:r>
      <w:r w:rsidR="00D00625"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el: 734 353 740</w:t>
      </w:r>
    </w:p>
    <w:p w14:paraId="4932ACAB" w14:textId="77777777" w:rsidR="00D00625" w:rsidRPr="00383ED3" w:rsidRDefault="00D00625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</w:p>
    <w:p w14:paraId="38170B17" w14:textId="77777777" w:rsidR="00D00625" w:rsidRPr="00383ED3" w:rsidRDefault="00D00625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  <w:r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Ivo Starý, Ústav organické chemie a biochemie AV ČR</w:t>
      </w:r>
    </w:p>
    <w:p w14:paraId="1D8CEE31" w14:textId="548ABC16" w:rsidR="00D00625" w:rsidRPr="00383ED3" w:rsidRDefault="00383ED3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  <w:r>
        <w:rPr>
          <w:rStyle w:val="None"/>
          <w:rFonts w:ascii="Calibri" w:eastAsia="Calibri" w:hAnsi="Calibri" w:cs="Calibri"/>
          <w:u w:color="000000"/>
          <w:lang w:val="cs-CZ" w:eastAsia="cs-CZ"/>
        </w:rPr>
        <w:t>e-</w:t>
      </w:r>
      <w:r w:rsidR="00D00625"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mail: stary@uochb.cas.cz</w:t>
      </w:r>
      <w:r>
        <w:rPr>
          <w:rStyle w:val="None"/>
          <w:rFonts w:ascii="Calibri" w:eastAsia="Calibri" w:hAnsi="Calibri" w:cs="Calibri"/>
          <w:u w:color="000000"/>
          <w:lang w:val="cs-CZ" w:eastAsia="cs-CZ"/>
        </w:rPr>
        <w:t>, t</w:t>
      </w:r>
      <w:r w:rsidR="00D00625"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el: 731 447 870</w:t>
      </w:r>
    </w:p>
    <w:p w14:paraId="429A9296" w14:textId="77777777" w:rsidR="00D00625" w:rsidRPr="00383ED3" w:rsidRDefault="00D00625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</w:p>
    <w:p w14:paraId="3EF65497" w14:textId="6FF1D3DB" w:rsidR="00D00625" w:rsidRPr="00383ED3" w:rsidRDefault="00D00625" w:rsidP="00D00625">
      <w:pPr>
        <w:rPr>
          <w:rStyle w:val="None"/>
          <w:rFonts w:ascii="Calibri" w:eastAsia="Calibri" w:hAnsi="Calibri" w:cs="Calibri"/>
          <w:u w:color="000000"/>
          <w:lang w:eastAsia="cs-CZ"/>
        </w:rPr>
      </w:pPr>
      <w:r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T</w:t>
      </w:r>
      <w:proofErr w:type="spellStart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>omáš</w:t>
      </w:r>
      <w:proofErr w:type="spellEnd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 xml:space="preserve"> </w:t>
      </w:r>
      <w:proofErr w:type="spellStart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>Mančal</w:t>
      </w:r>
      <w:proofErr w:type="spellEnd"/>
      <w:r w:rsidR="00383ED3">
        <w:rPr>
          <w:rStyle w:val="None"/>
          <w:rFonts w:ascii="Calibri" w:eastAsia="Calibri" w:hAnsi="Calibri" w:cs="Calibri"/>
          <w:u w:color="000000"/>
          <w:lang w:eastAsia="cs-CZ"/>
        </w:rPr>
        <w:t xml:space="preserve">, </w:t>
      </w:r>
      <w:proofErr w:type="spellStart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>Matematicko-fyzikální</w:t>
      </w:r>
      <w:proofErr w:type="spellEnd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 xml:space="preserve"> </w:t>
      </w:r>
      <w:proofErr w:type="spellStart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>fakulta</w:t>
      </w:r>
      <w:proofErr w:type="spellEnd"/>
      <w:r w:rsidRPr="00383ED3">
        <w:rPr>
          <w:rStyle w:val="None"/>
          <w:rFonts w:ascii="Calibri" w:eastAsia="Calibri" w:hAnsi="Calibri" w:cs="Calibri"/>
          <w:u w:color="000000"/>
          <w:lang w:eastAsia="cs-CZ"/>
        </w:rPr>
        <w:t xml:space="preserve"> UK</w:t>
      </w:r>
    </w:p>
    <w:p w14:paraId="0B18055E" w14:textId="75E9B44B" w:rsidR="00D00625" w:rsidRPr="00383ED3" w:rsidRDefault="00383ED3" w:rsidP="00D00625">
      <w:pPr>
        <w:rPr>
          <w:rStyle w:val="None"/>
          <w:rFonts w:ascii="Calibri" w:eastAsia="Calibri" w:hAnsi="Calibri" w:cs="Calibri"/>
          <w:u w:color="000000"/>
          <w:lang w:val="cs-CZ" w:eastAsia="cs-CZ"/>
        </w:rPr>
      </w:pPr>
      <w:r>
        <w:rPr>
          <w:rStyle w:val="None"/>
          <w:rFonts w:ascii="Calibri" w:eastAsia="Calibri" w:hAnsi="Calibri" w:cs="Calibri"/>
          <w:u w:color="000000"/>
          <w:lang w:val="cs-CZ" w:eastAsia="cs-CZ"/>
        </w:rPr>
        <w:t>e-</w:t>
      </w:r>
      <w:r w:rsidR="00D00625"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mail: mancal@karlov.mff.cuni.cz</w:t>
      </w:r>
      <w:r>
        <w:rPr>
          <w:rStyle w:val="None"/>
          <w:rFonts w:ascii="Calibri" w:eastAsia="Calibri" w:hAnsi="Calibri" w:cs="Calibri"/>
          <w:u w:color="000000"/>
          <w:lang w:val="cs-CZ" w:eastAsia="cs-CZ"/>
        </w:rPr>
        <w:t xml:space="preserve">, tel.: </w:t>
      </w:r>
      <w:r w:rsidRPr="00383ED3">
        <w:rPr>
          <w:rStyle w:val="None"/>
          <w:rFonts w:ascii="Calibri" w:eastAsia="Calibri" w:hAnsi="Calibri" w:cs="Calibri"/>
          <w:u w:color="000000"/>
          <w:lang w:val="cs-CZ" w:eastAsia="cs-CZ"/>
        </w:rPr>
        <w:t>951 551 337</w:t>
      </w:r>
    </w:p>
    <w:p w14:paraId="4FBEEB44" w14:textId="339298D4" w:rsidR="003701F2" w:rsidRDefault="003701F2" w:rsidP="003701F2">
      <w:pPr>
        <w:pStyle w:val="Body"/>
      </w:pPr>
    </w:p>
    <w:p w14:paraId="19FDC0E7" w14:textId="21B69E14" w:rsidR="00383ED3" w:rsidRDefault="00383ED3">
      <w:pPr>
        <w:rPr>
          <w:rFonts w:cs="Arial Unicode MS"/>
          <w:color w:val="000000"/>
          <w:u w:color="000000"/>
          <w:lang w:val="cs-CZ" w:eastAsia="cs-CZ"/>
        </w:rPr>
      </w:pPr>
      <w:r>
        <w:br w:type="page"/>
      </w:r>
    </w:p>
    <w:p w14:paraId="75DB306A" w14:textId="309EF814" w:rsidR="00D00625" w:rsidRPr="003701F2" w:rsidRDefault="00383ED3" w:rsidP="003701F2">
      <w:pPr>
        <w:pStyle w:val="Body"/>
      </w:pPr>
      <w:r>
        <w:rPr>
          <w:rFonts w:cs="Times New Roman"/>
          <w:noProof/>
        </w:rPr>
        <w:lastRenderedPageBreak/>
        <w:drawing>
          <wp:inline distT="0" distB="0" distL="0" distR="0" wp14:anchorId="5D9FE69D" wp14:editId="22EB681A">
            <wp:extent cx="5756910" cy="4317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C5D8" w14:textId="673F365C" w:rsidR="009B0F6F" w:rsidRDefault="009B0F6F" w:rsidP="003701F2">
      <w:pPr>
        <w:pStyle w:val="Bezmezer"/>
        <w:rPr>
          <w:rStyle w:val="None"/>
          <w:rFonts w:ascii="Calibri" w:eastAsia="Calibri" w:hAnsi="Calibri" w:cs="Calibri"/>
          <w:color w:val="000000"/>
          <w:u w:color="000000"/>
        </w:rPr>
      </w:pPr>
    </w:p>
    <w:p w14:paraId="7F1547C7" w14:textId="77777777" w:rsidR="003701F2" w:rsidRPr="003701F2" w:rsidRDefault="003701F2" w:rsidP="003701F2">
      <w:pPr>
        <w:pStyle w:val="Body"/>
      </w:pPr>
    </w:p>
    <w:p w14:paraId="6BA4C975" w14:textId="7070911D" w:rsidR="009B0F6F" w:rsidRPr="00427C1B" w:rsidRDefault="00383ED3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</w:pPr>
      <w:r w:rsidRPr="00427C1B">
        <w:rPr>
          <w:rStyle w:val="None"/>
          <w:rFonts w:ascii="Calibri" w:eastAsia="Calibri" w:hAnsi="Calibri" w:cs="Calibri" w:hint="eastAsia"/>
          <w:i/>
          <w:color w:val="000000"/>
          <w:sz w:val="22"/>
          <w:szCs w:val="22"/>
          <w:u w:color="000000"/>
        </w:rPr>
        <w:t xml:space="preserve">Přenos elektronu, který se odehrává mezi dvěma </w:t>
      </w:r>
      <w:proofErr w:type="spellStart"/>
      <w:r w:rsidRPr="00427C1B">
        <w:rPr>
          <w:rStyle w:val="None"/>
          <w:rFonts w:ascii="Calibri" w:eastAsia="Calibri" w:hAnsi="Calibri" w:cs="Calibri" w:hint="eastAsia"/>
          <w:i/>
          <w:color w:val="000000"/>
          <w:sz w:val="22"/>
          <w:szCs w:val="22"/>
          <w:u w:color="000000"/>
        </w:rPr>
        <w:t>ferrocenovými</w:t>
      </w:r>
      <w:proofErr w:type="spellEnd"/>
      <w:r w:rsidRPr="00427C1B">
        <w:rPr>
          <w:rStyle w:val="None"/>
          <w:rFonts w:ascii="Calibri" w:eastAsia="Calibri" w:hAnsi="Calibri" w:cs="Calibri" w:hint="eastAsia"/>
          <w:i/>
          <w:color w:val="000000"/>
          <w:sz w:val="22"/>
          <w:szCs w:val="22"/>
          <w:u w:color="000000"/>
        </w:rPr>
        <w:t xml:space="preserve"> jednotkami izolované molekuly, je řízený oscilujícím hrotem mikroskopu atomárních sil. V průběhu tohoto procesu se uvolní určité množství energie </w:t>
      </w:r>
      <w:r w:rsidR="00427C1B">
        <w:rPr>
          <w:rFonts w:ascii="Times New Roman" w:hAnsi="Times New Roman" w:cs="Times New Roman"/>
        </w:rPr>
        <w:t>Δ</w:t>
      </w:r>
      <w:r w:rsidRPr="00427C1B">
        <w:rPr>
          <w:rStyle w:val="None"/>
          <w:rFonts w:ascii="Calibri" w:eastAsia="Calibri" w:hAnsi="Calibri" w:cs="Calibri" w:hint="eastAsia"/>
          <w:i/>
          <w:color w:val="000000"/>
          <w:sz w:val="22"/>
          <w:szCs w:val="22"/>
          <w:u w:color="000000"/>
        </w:rPr>
        <w:t>E do okolí molekuly.</w:t>
      </w:r>
    </w:p>
    <w:p w14:paraId="1C53C2AF" w14:textId="7674CA63" w:rsidR="009B0F6F" w:rsidRPr="00427C1B" w:rsidRDefault="003701F2" w:rsidP="003701F2">
      <w:pPr>
        <w:pStyle w:val="Bezmezer"/>
        <w:rPr>
          <w:i/>
          <w:sz w:val="22"/>
          <w:szCs w:val="22"/>
        </w:rPr>
      </w:pPr>
      <w:proofErr w:type="spellStart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>Obrázek</w:t>
      </w:r>
      <w:proofErr w:type="spellEnd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 xml:space="preserve">: </w:t>
      </w:r>
      <w:proofErr w:type="spellStart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>Fyzikální</w:t>
      </w:r>
      <w:proofErr w:type="spellEnd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 xml:space="preserve"> </w:t>
      </w:r>
      <w:proofErr w:type="spellStart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>ústav</w:t>
      </w:r>
      <w:proofErr w:type="spellEnd"/>
      <w:r w:rsidRPr="00427C1B">
        <w:rPr>
          <w:rStyle w:val="None"/>
          <w:rFonts w:ascii="Calibri" w:eastAsia="Calibri" w:hAnsi="Calibri" w:cs="Calibri"/>
          <w:i/>
          <w:color w:val="000000"/>
          <w:sz w:val="22"/>
          <w:szCs w:val="22"/>
          <w:u w:color="000000"/>
        </w:rPr>
        <w:t xml:space="preserve"> AV ČR</w:t>
      </w:r>
    </w:p>
    <w:sectPr w:rsidR="009B0F6F" w:rsidRPr="00427C1B">
      <w:headerReference w:type="default" r:id="rId11"/>
      <w:footerReference w:type="default" r:id="rId12"/>
      <w:pgSz w:w="11900" w:h="16840"/>
      <w:pgMar w:top="3158" w:right="1133" w:bottom="1758" w:left="1701" w:header="709" w:footer="8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E01A" w14:textId="77777777" w:rsidR="00135100" w:rsidRDefault="00135100">
      <w:r>
        <w:separator/>
      </w:r>
    </w:p>
  </w:endnote>
  <w:endnote w:type="continuationSeparator" w:id="0">
    <w:p w14:paraId="40510E8F" w14:textId="77777777" w:rsidR="00135100" w:rsidRDefault="001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tiva Sans">
    <w:altName w:val="MS UI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8F04" w14:textId="77777777" w:rsidR="009B0F6F" w:rsidRDefault="009B0F6F">
    <w:pPr>
      <w:pStyle w:val="Body"/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4FF36CBC" w14:textId="77777777" w:rsidR="009B0F6F" w:rsidRDefault="00B375C2">
    <w:pPr>
      <w:pStyle w:val="Body"/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pt-PT"/>
      </w:rPr>
      <w:t>Kancel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ář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de-DE"/>
      </w:rPr>
      <w:t>Akademie v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ěd ČR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  <w:t>Fyzikální ústav AV ČR</w:t>
    </w:r>
  </w:p>
  <w:p w14:paraId="489F51CC" w14:textId="77777777" w:rsidR="009B0F6F" w:rsidRDefault="00B375C2">
    <w:pPr>
      <w:pStyle w:val="Body"/>
      <w:tabs>
        <w:tab w:val="left" w:pos="1995"/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Ing. Jan Martinek  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  <w:t>Petra K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sv-SE"/>
      </w:rPr>
      <w:t>ö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ppl</w:t>
    </w:r>
  </w:p>
  <w:p w14:paraId="2311CF5C" w14:textId="77777777" w:rsidR="009B0F6F" w:rsidRDefault="00B375C2">
    <w:pPr>
      <w:pStyle w:val="Body"/>
      <w:tabs>
        <w:tab w:val="right" w:pos="9046"/>
      </w:tabs>
      <w:spacing w:line="240" w:lineRule="auto"/>
      <w:rPr>
        <w:rStyle w:val="Hyperlink0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>
        <w:rPr>
          <w:rStyle w:val="Hyperlink0"/>
        </w:rPr>
        <w:t>martinek@kav.cas.cz</w:t>
      </w:r>
    </w:hyperlink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E-mail: </w:t>
    </w:r>
    <w:hyperlink r:id="rId2" w:history="1">
      <w:r>
        <w:rPr>
          <w:rStyle w:val="Hyperlink0"/>
          <w:lang w:val="de-DE"/>
        </w:rPr>
        <w:t>koppl@fzu.cz</w:t>
      </w:r>
    </w:hyperlink>
  </w:p>
  <w:p w14:paraId="7D4CC480" w14:textId="77777777" w:rsidR="009B0F6F" w:rsidRDefault="00B375C2">
    <w:pPr>
      <w:pStyle w:val="Body"/>
      <w:tabs>
        <w:tab w:val="right" w:pos="9046"/>
      </w:tabs>
      <w:spacing w:line="240" w:lineRule="auto"/>
    </w:pP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Telefon: +420 221 403 423, +420 602</w:t>
    </w:r>
    <w:r>
      <w:rPr>
        <w:rStyle w:val="None"/>
        <w:rFonts w:ascii="Calibri" w:eastAsia="Calibri" w:hAnsi="Calibri" w:cs="Calibri"/>
        <w:color w:val="0072B6"/>
        <w:sz w:val="16"/>
        <w:szCs w:val="16"/>
        <w:u w:color="0072B6"/>
      </w:rPr>
      <w:t> 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270 999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Tel.:  +420 702 206 680  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7F09" w14:textId="77777777" w:rsidR="00135100" w:rsidRDefault="00135100">
      <w:r>
        <w:separator/>
      </w:r>
    </w:p>
  </w:footnote>
  <w:footnote w:type="continuationSeparator" w:id="0">
    <w:p w14:paraId="72E446F5" w14:textId="77777777" w:rsidR="00135100" w:rsidRDefault="0013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F53" w14:textId="77777777" w:rsidR="009B0F6F" w:rsidRDefault="00B375C2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A762B8" wp14:editId="538337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C01E47B" wp14:editId="1FA7376D">
          <wp:simplePos x="0" y="0"/>
          <wp:positionH relativeFrom="page">
            <wp:posOffset>3992879</wp:posOffset>
          </wp:positionH>
          <wp:positionV relativeFrom="page">
            <wp:posOffset>533400</wp:posOffset>
          </wp:positionV>
          <wp:extent cx="2847975" cy="723900"/>
          <wp:effectExtent l="0" t="0" r="0" b="0"/>
          <wp:wrapNone/>
          <wp:docPr id="1073741826" name="officeArt object" descr="Nalezený obrázek pro fyzikální úst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alezený obrázek pro fyzikální ústav" descr="Nalezený obrázek pro fyzikální ústav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D060412" wp14:editId="1AD71E94">
              <wp:simplePos x="0" y="0"/>
              <wp:positionH relativeFrom="page">
                <wp:posOffset>1076324</wp:posOffset>
              </wp:positionH>
              <wp:positionV relativeFrom="page">
                <wp:posOffset>9977755</wp:posOffset>
              </wp:positionV>
              <wp:extent cx="5753102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D60021" id="officeArt object" o:spid="_x0000_s1026" alt="Přímá spojnice 4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4.75pt,785.65pt" to="537.7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" strokecolor="#4a7ebb">
              <w10:wrap anchorx="page" anchory="page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6F"/>
    <w:rsid w:val="00135100"/>
    <w:rsid w:val="00297480"/>
    <w:rsid w:val="003701F2"/>
    <w:rsid w:val="00383ED3"/>
    <w:rsid w:val="003D4BA5"/>
    <w:rsid w:val="004115E8"/>
    <w:rsid w:val="00427C1B"/>
    <w:rsid w:val="004F767B"/>
    <w:rsid w:val="00553E01"/>
    <w:rsid w:val="009A40E8"/>
    <w:rsid w:val="009B0F6F"/>
    <w:rsid w:val="00A60070"/>
    <w:rsid w:val="00AA27BB"/>
    <w:rsid w:val="00B375C2"/>
    <w:rsid w:val="00B732D1"/>
    <w:rsid w:val="00D00625"/>
    <w:rsid w:val="00D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964"/>
  <w15:docId w15:val="{6F87329C-A7E9-4474-8D0E-5BC592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tiva Sans" w:eastAsia="Motiva Sans" w:hAnsi="Motiva Sans" w:cs="Motiva Sans"/>
      <w:color w:val="0072B6"/>
      <w:sz w:val="16"/>
      <w:szCs w:val="16"/>
      <w:u w:val="single" w:color="0072B6"/>
    </w:rPr>
  </w:style>
  <w:style w:type="paragraph" w:customStyle="1" w:styleId="Heading">
    <w:name w:val="Heading"/>
    <w:next w:val="Body"/>
    <w:pPr>
      <w:keepNext/>
      <w:keepLines/>
      <w:spacing w:before="240" w:line="36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E8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E8"/>
    <w:rPr>
      <w:b/>
      <w:bCs/>
      <w:lang w:val="en-US" w:eastAsia="en-US"/>
    </w:rPr>
  </w:style>
  <w:style w:type="paragraph" w:styleId="Bezmezer">
    <w:name w:val="No Spacing"/>
    <w:uiPriority w:val="1"/>
    <w:qFormat/>
    <w:rsid w:val="003701F2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8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avel.jelinek@fz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ppl@fzu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06D-A5AF-4995-B07B-42837E01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85F80-9612-4336-9ECB-403E4AC4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E6EBC-23DE-4D5D-B0F6-1F33EC799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Růžičková Markéta</cp:lastModifiedBy>
  <cp:revision>8</cp:revision>
  <cp:lastPrinted>2020-01-08T07:54:00Z</cp:lastPrinted>
  <dcterms:created xsi:type="dcterms:W3CDTF">2020-03-18T09:28:00Z</dcterms:created>
  <dcterms:modified xsi:type="dcterms:W3CDTF">2020-03-19T08:06:00Z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