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2E2B" w:rsidRDefault="00E12E2B">
      <w:pPr>
        <w:pStyle w:val="Standard"/>
      </w:pPr>
      <w:bookmarkStart w:id="0" w:name="_GoBack"/>
      <w:bookmarkEnd w:id="0"/>
    </w:p>
    <w:p w:rsidR="00E12E2B" w:rsidRPr="0034009B" w:rsidRDefault="007C4690" w:rsidP="0034009B">
      <w:pPr>
        <w:pStyle w:val="Standard"/>
        <w:spacing w:after="0" w:line="240" w:lineRule="auto"/>
        <w:rPr>
          <w:rFonts w:ascii="Segoe UI" w:hAnsi="Segoe UI" w:cs="Segoe UI"/>
        </w:rPr>
      </w:pPr>
      <w:r w:rsidRPr="0034009B">
        <w:rPr>
          <w:rFonts w:ascii="Segoe UI" w:hAnsi="Segoe UI" w:cs="Segoe UI"/>
        </w:rPr>
        <w:t xml:space="preserve">TISKOVÁ ZPRÁVA  </w:t>
      </w:r>
    </w:p>
    <w:p w:rsidR="0034009B" w:rsidRDefault="0034009B" w:rsidP="0034009B">
      <w:pPr>
        <w:pStyle w:val="Standard"/>
        <w:spacing w:after="0" w:line="240" w:lineRule="auto"/>
      </w:pPr>
    </w:p>
    <w:p w:rsidR="00E12E2B" w:rsidRDefault="007C4690">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Segoe UI" w:eastAsia="Times New Roman" w:hAnsi="Segoe UI" w:cs="Segoe UI"/>
          <w:b/>
          <w:sz w:val="28"/>
          <w:szCs w:val="28"/>
          <w:lang w:eastAsia="cs-CZ"/>
        </w:rPr>
        <w:t>Zemědělské sucho překonalo mezi léty 2015-2018 všechny suché periody v posledních dvou tisíciletích</w:t>
      </w:r>
    </w:p>
    <w:p w:rsidR="00E12E2B" w:rsidRDefault="00E12E2B">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cs-CZ"/>
        </w:rPr>
      </w:pPr>
    </w:p>
    <w:p w:rsidR="00E12E2B" w:rsidRPr="0034009B" w:rsidRDefault="0034009B">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sidRPr="0034009B">
        <w:rPr>
          <w:rFonts w:ascii="Segoe UI" w:eastAsia="Times New Roman" w:hAnsi="Segoe UI" w:cs="Segoe UI"/>
          <w:b/>
          <w:lang w:eastAsia="cs-CZ"/>
        </w:rPr>
        <w:t>Brno, 16</w:t>
      </w:r>
      <w:r w:rsidR="007C4690" w:rsidRPr="0034009B">
        <w:rPr>
          <w:rFonts w:ascii="Segoe UI" w:eastAsia="Times New Roman" w:hAnsi="Segoe UI" w:cs="Segoe UI"/>
          <w:b/>
          <w:lang w:eastAsia="cs-CZ"/>
        </w:rPr>
        <w:t xml:space="preserve">. 3. 2021 – </w:t>
      </w:r>
      <w:r w:rsidR="007C4690" w:rsidRPr="0034009B">
        <w:rPr>
          <w:rFonts w:ascii="Segoe UI" w:eastAsia="Times New Roman" w:hAnsi="Segoe UI" w:cs="Segoe UI"/>
          <w:b/>
          <w:iCs/>
          <w:lang w:eastAsia="cs-CZ"/>
        </w:rPr>
        <w:t xml:space="preserve">Letní zemědělská sucha, která postihla v posledních letech zvláště střední Evropu, byla </w:t>
      </w:r>
      <w:r w:rsidR="00C9612B" w:rsidRPr="0034009B">
        <w:rPr>
          <w:rFonts w:ascii="Segoe UI" w:eastAsia="Times New Roman" w:hAnsi="Segoe UI" w:cs="Segoe UI"/>
          <w:b/>
          <w:iCs/>
          <w:lang w:eastAsia="cs-CZ"/>
        </w:rPr>
        <w:t xml:space="preserve">ve svém souhrnu </w:t>
      </w:r>
      <w:r w:rsidR="007C4690" w:rsidRPr="0034009B">
        <w:rPr>
          <w:rFonts w:ascii="Segoe UI" w:eastAsia="Times New Roman" w:hAnsi="Segoe UI" w:cs="Segoe UI"/>
          <w:b/>
          <w:iCs/>
          <w:lang w:eastAsia="cs-CZ"/>
        </w:rPr>
        <w:t>závažnější než kterákoliv jiná such</w:t>
      </w:r>
      <w:r w:rsidR="00C9612B" w:rsidRPr="0034009B">
        <w:rPr>
          <w:rFonts w:ascii="Segoe UI" w:eastAsia="Times New Roman" w:hAnsi="Segoe UI" w:cs="Segoe UI"/>
          <w:b/>
          <w:iCs/>
          <w:lang w:eastAsia="cs-CZ"/>
        </w:rPr>
        <w:t>á období</w:t>
      </w:r>
      <w:r w:rsidR="007C4690" w:rsidRPr="0034009B">
        <w:rPr>
          <w:rFonts w:ascii="Segoe UI" w:eastAsia="Times New Roman" w:hAnsi="Segoe UI" w:cs="Segoe UI"/>
          <w:b/>
          <w:iCs/>
          <w:lang w:eastAsia="cs-CZ"/>
        </w:rPr>
        <w:t xml:space="preserve"> za uplynulých 2110 let. K těmto závěrům vědci dospěli ve studii zpracované na základě analýz stabilních izotopů uhlíku a kyslíku v letokruzích dubů převážně z území České republiky. Dokázali pro každý rok rekonstruovat míru nedostatku nebo naopak nadbytku vláhy. Na studii pracoval tým vedený profesorem </w:t>
      </w:r>
      <w:proofErr w:type="spellStart"/>
      <w:r w:rsidR="007C4690" w:rsidRPr="0034009B">
        <w:rPr>
          <w:rFonts w:ascii="Segoe UI" w:eastAsia="Times New Roman" w:hAnsi="Segoe UI" w:cs="Segoe UI"/>
          <w:b/>
          <w:iCs/>
          <w:lang w:eastAsia="cs-CZ"/>
        </w:rPr>
        <w:t>Ulfem</w:t>
      </w:r>
      <w:proofErr w:type="spellEnd"/>
      <w:r w:rsidR="007C4690" w:rsidRPr="0034009B">
        <w:rPr>
          <w:rFonts w:ascii="Segoe UI" w:eastAsia="Times New Roman" w:hAnsi="Segoe UI" w:cs="Segoe UI"/>
          <w:b/>
          <w:iCs/>
          <w:lang w:eastAsia="cs-CZ"/>
        </w:rPr>
        <w:t xml:space="preserve"> </w:t>
      </w:r>
      <w:proofErr w:type="spellStart"/>
      <w:r w:rsidR="007C4690" w:rsidRPr="0034009B">
        <w:rPr>
          <w:rFonts w:ascii="Segoe UI" w:eastAsia="Times New Roman" w:hAnsi="Segoe UI" w:cs="Segoe UI"/>
          <w:b/>
          <w:iCs/>
          <w:lang w:eastAsia="cs-CZ"/>
        </w:rPr>
        <w:t>Büntgenem</w:t>
      </w:r>
      <w:proofErr w:type="spellEnd"/>
      <w:r w:rsidR="007C4690" w:rsidRPr="0034009B">
        <w:rPr>
          <w:rFonts w:ascii="Segoe UI" w:eastAsia="Times New Roman" w:hAnsi="Segoe UI" w:cs="Segoe UI"/>
          <w:b/>
          <w:iCs/>
          <w:lang w:eastAsia="cs-CZ"/>
        </w:rPr>
        <w:t xml:space="preserve"> z </w:t>
      </w:r>
      <w:proofErr w:type="spellStart"/>
      <w:r w:rsidR="007C4690" w:rsidRPr="0034009B">
        <w:rPr>
          <w:rFonts w:ascii="Segoe UI" w:eastAsia="Times New Roman" w:hAnsi="Segoe UI" w:cs="Segoe UI"/>
          <w:b/>
          <w:iCs/>
          <w:lang w:val="en-GB" w:eastAsia="cs-CZ"/>
        </w:rPr>
        <w:t>Ústavu</w:t>
      </w:r>
      <w:proofErr w:type="spellEnd"/>
      <w:r w:rsidR="007C4690" w:rsidRPr="0034009B">
        <w:rPr>
          <w:rFonts w:ascii="Segoe UI" w:eastAsia="Times New Roman" w:hAnsi="Segoe UI" w:cs="Segoe UI"/>
          <w:b/>
          <w:iCs/>
          <w:lang w:val="en-GB" w:eastAsia="cs-CZ"/>
        </w:rPr>
        <w:t xml:space="preserve"> výzkumu globální změny AV ČR a </w:t>
      </w:r>
      <w:proofErr w:type="spellStart"/>
      <w:r w:rsidR="007C4690" w:rsidRPr="0034009B">
        <w:rPr>
          <w:rFonts w:ascii="Segoe UI" w:eastAsia="Times New Roman" w:hAnsi="Segoe UI" w:cs="Segoe UI"/>
          <w:b/>
          <w:iCs/>
          <w:lang w:val="en-GB" w:eastAsia="cs-CZ"/>
        </w:rPr>
        <w:t>Univerzity</w:t>
      </w:r>
      <w:proofErr w:type="spellEnd"/>
      <w:r w:rsidR="007C4690" w:rsidRPr="0034009B">
        <w:rPr>
          <w:rFonts w:ascii="Segoe UI" w:eastAsia="Times New Roman" w:hAnsi="Segoe UI" w:cs="Segoe UI"/>
          <w:b/>
          <w:iCs/>
          <w:lang w:val="en-GB" w:eastAsia="cs-CZ"/>
        </w:rPr>
        <w:t xml:space="preserve"> v Cambridge a </w:t>
      </w:r>
      <w:proofErr w:type="spellStart"/>
      <w:r w:rsidR="007C4690" w:rsidRPr="0034009B">
        <w:rPr>
          <w:rFonts w:ascii="Segoe UI" w:eastAsia="Times New Roman" w:hAnsi="Segoe UI" w:cs="Segoe UI"/>
          <w:b/>
          <w:iCs/>
          <w:lang w:val="en-GB" w:eastAsia="cs-CZ"/>
        </w:rPr>
        <w:t>publikoval</w:t>
      </w:r>
      <w:proofErr w:type="spellEnd"/>
      <w:r w:rsidR="007C4690" w:rsidRPr="0034009B">
        <w:rPr>
          <w:rFonts w:ascii="Segoe UI" w:eastAsia="Times New Roman" w:hAnsi="Segoe UI" w:cs="Segoe UI"/>
          <w:b/>
          <w:iCs/>
          <w:lang w:eastAsia="cs-CZ"/>
        </w:rPr>
        <w:t xml:space="preserve"> ji časopis </w:t>
      </w:r>
      <w:proofErr w:type="spellStart"/>
      <w:r w:rsidR="007C4690" w:rsidRPr="0034009B">
        <w:rPr>
          <w:rFonts w:ascii="Segoe UI" w:eastAsia="Times New Roman" w:hAnsi="Segoe UI" w:cs="Segoe UI"/>
          <w:b/>
          <w:iCs/>
          <w:lang w:eastAsia="cs-CZ"/>
        </w:rPr>
        <w:t>Nature</w:t>
      </w:r>
      <w:proofErr w:type="spellEnd"/>
      <w:r w:rsidR="007C4690" w:rsidRPr="0034009B">
        <w:rPr>
          <w:rFonts w:ascii="Segoe UI" w:eastAsia="Times New Roman" w:hAnsi="Segoe UI" w:cs="Segoe UI"/>
          <w:b/>
          <w:iCs/>
          <w:lang w:eastAsia="cs-CZ"/>
        </w:rPr>
        <w:t xml:space="preserve"> </w:t>
      </w:r>
      <w:proofErr w:type="spellStart"/>
      <w:r w:rsidR="007C4690" w:rsidRPr="0034009B">
        <w:rPr>
          <w:rFonts w:ascii="Segoe UI" w:eastAsia="Times New Roman" w:hAnsi="Segoe UI" w:cs="Segoe UI"/>
          <w:b/>
          <w:iCs/>
          <w:lang w:eastAsia="cs-CZ"/>
        </w:rPr>
        <w:t>Geoscience</w:t>
      </w:r>
      <w:proofErr w:type="spellEnd"/>
      <w:r w:rsidR="007C4690" w:rsidRPr="0034009B">
        <w:rPr>
          <w:rFonts w:ascii="Segoe UI" w:eastAsia="Times New Roman" w:hAnsi="Segoe UI" w:cs="Segoe UI"/>
          <w:b/>
          <w:iCs/>
          <w:lang w:eastAsia="cs-CZ"/>
        </w:rPr>
        <w:t>.</w:t>
      </w:r>
    </w:p>
    <w:p w:rsidR="00E12E2B" w:rsidRPr="0034009B" w:rsidRDefault="00E12E2B">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p>
    <w:p w:rsidR="00E12E2B" w:rsidRDefault="00E12E2B">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Segoe UI" w:eastAsia="Times New Roman" w:hAnsi="Segoe UI" w:cs="Segoe UI"/>
          <w:lang w:eastAsia="cs-CZ"/>
        </w:rPr>
      </w:pPr>
    </w:p>
    <w:p w:rsidR="00E12E2B" w:rsidRPr="0034009B" w:rsidRDefault="007C4690">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Segoe UI" w:eastAsia="Times New Roman" w:hAnsi="Segoe UI" w:cs="Segoe UI"/>
          <w:iCs/>
          <w:lang w:eastAsia="cs-CZ"/>
        </w:rPr>
      </w:pPr>
      <w:r w:rsidRPr="0034009B">
        <w:rPr>
          <w:rFonts w:ascii="Segoe UI" w:eastAsia="Times New Roman" w:hAnsi="Segoe UI" w:cs="Segoe UI"/>
          <w:iCs/>
          <w:lang w:eastAsia="cs-CZ"/>
        </w:rPr>
        <w:t xml:space="preserve">Letní sucha trápila střední Evropu především od roku 2015 až do začátku jara loňského roku a společně s vlnami veder byly příčinou značných ekologických a ekonomických škod. Anomálie </w:t>
      </w:r>
      <w:r w:rsidR="00C9612B" w:rsidRPr="0034009B">
        <w:rPr>
          <w:rFonts w:ascii="Segoe UI" w:eastAsia="Times New Roman" w:hAnsi="Segoe UI" w:cs="Segoe UI"/>
          <w:iCs/>
          <w:lang w:eastAsia="cs-CZ"/>
        </w:rPr>
        <w:t>byla</w:t>
      </w:r>
      <w:r w:rsidRPr="0034009B">
        <w:rPr>
          <w:rFonts w:ascii="Segoe UI" w:eastAsia="Times New Roman" w:hAnsi="Segoe UI" w:cs="Segoe UI"/>
          <w:iCs/>
          <w:lang w:eastAsia="cs-CZ"/>
        </w:rPr>
        <w:t xml:space="preserve"> pravděpodobně výsledkem změny klimatu způsobené člověkem, včetně změn</w:t>
      </w:r>
      <w:r w:rsidR="00152E4D" w:rsidRPr="0034009B">
        <w:rPr>
          <w:rFonts w:ascii="Segoe UI" w:eastAsia="Times New Roman" w:hAnsi="Segoe UI" w:cs="Segoe UI"/>
          <w:iCs/>
          <w:lang w:eastAsia="cs-CZ"/>
        </w:rPr>
        <w:t xml:space="preserve"> </w:t>
      </w:r>
      <w:r w:rsidRPr="0034009B">
        <w:rPr>
          <w:rFonts w:ascii="Segoe UI" w:eastAsia="Times New Roman" w:hAnsi="Segoe UI" w:cs="Segoe UI"/>
          <w:iCs/>
          <w:lang w:eastAsia="cs-CZ"/>
        </w:rPr>
        <w:t>tzv. tryskového proudění v atmosféře</w:t>
      </w:r>
      <w:r w:rsidRPr="0034009B">
        <w:rPr>
          <w:rFonts w:ascii="Segoe UI" w:eastAsia="Times New Roman" w:hAnsi="Segoe UI" w:cs="Segoe UI"/>
          <w:iCs/>
          <w:color w:val="000000"/>
          <w:lang w:eastAsia="cs-CZ"/>
        </w:rPr>
        <w:t>. Z jiných analýz prováděných mj. právě Ústavem výzkumu globální změny navíc vyplývá, že se četnost a intenzita extrémních jevů, zvláště sucha a vysokých teplot, bude v budoucích dekádách dále zvyšovat s pokračujícím růstem globální teploty.</w:t>
      </w:r>
    </w:p>
    <w:p w:rsidR="00E12E2B" w:rsidRDefault="00E12E2B">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Segoe UI" w:eastAsia="Times New Roman" w:hAnsi="Segoe UI" w:cs="Segoe UI"/>
          <w:lang w:eastAsia="cs-CZ"/>
        </w:rPr>
      </w:pPr>
    </w:p>
    <w:p w:rsidR="00E12E2B" w:rsidRPr="0034009B" w:rsidRDefault="007C4690">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Segoe UI" w:eastAsia="Times New Roman" w:hAnsi="Segoe UI" w:cs="Segoe UI"/>
          <w:iCs/>
          <w:lang w:eastAsia="cs-CZ"/>
        </w:rPr>
      </w:pPr>
      <w:r w:rsidRPr="0034009B">
        <w:rPr>
          <w:rFonts w:ascii="Segoe UI" w:eastAsia="Times New Roman" w:hAnsi="Segoe UI" w:cs="Segoe UI"/>
          <w:iCs/>
          <w:lang w:eastAsia="cs-CZ"/>
        </w:rPr>
        <w:t>Ve studii využité letokruhy fungují jako „otisky prstů“, které lze využít k rekonstrukci minulého klimatu. Vědci se zaměřili na letní klima a zejména pak výskyt tzv. zemědělského sucha během uplynulých 2110 let. Na</w:t>
      </w:r>
      <w:r w:rsidRPr="0034009B">
        <w:rPr>
          <w:rFonts w:ascii="Segoe UI" w:eastAsia="Times New Roman" w:hAnsi="Segoe UI" w:cs="Segoe UI"/>
          <w:iCs/>
          <w:sz w:val="20"/>
          <w:szCs w:val="20"/>
          <w:lang w:eastAsia="cs-CZ"/>
        </w:rPr>
        <w:t xml:space="preserve"> </w:t>
      </w:r>
      <w:r w:rsidRPr="0034009B">
        <w:rPr>
          <w:rFonts w:ascii="Segoe UI" w:eastAsia="Times New Roman" w:hAnsi="Segoe UI" w:cs="Segoe UI"/>
          <w:iCs/>
          <w:lang w:eastAsia="cs-CZ"/>
        </w:rPr>
        <w:t>rozdíl od většiny podobných studií získali pro každý rok přesně datované informace o míře nedostatku nebo naopak nadbytku vláhy. Výsledky odhalily, že dlouhodobý trend vysychání krajiny patrný v celém sledovaném období se během 20. století podstatně zrychlil, a nakonec po roce 2015 překonal všechny dosavadní suché periody.</w:t>
      </w:r>
    </w:p>
    <w:p w:rsidR="00E12E2B" w:rsidRDefault="00E12E2B">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Segoe UI" w:eastAsia="Times New Roman" w:hAnsi="Segoe UI" w:cs="Segoe UI"/>
          <w:lang w:eastAsia="cs-CZ"/>
        </w:rPr>
      </w:pPr>
    </w:p>
    <w:p w:rsidR="00E12E2B" w:rsidRDefault="007C4690">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Segoe UI" w:eastAsia="Times New Roman" w:hAnsi="Segoe UI" w:cs="Segoe UI"/>
          <w:i/>
          <w:iCs/>
          <w:lang w:eastAsia="cs-CZ"/>
        </w:rPr>
      </w:pPr>
      <w:r>
        <w:rPr>
          <w:rFonts w:ascii="Segoe UI" w:eastAsia="Times New Roman" w:hAnsi="Segoe UI" w:cs="Segoe UI"/>
          <w:i/>
          <w:iCs/>
          <w:lang w:eastAsia="cs-CZ"/>
        </w:rPr>
        <w:t>„Všichni jsme si vědomi,</w:t>
      </w:r>
      <w:r>
        <w:rPr>
          <w:rFonts w:ascii="Segoe UI" w:eastAsia="Times New Roman" w:hAnsi="Segoe UI" w:cs="Segoe UI"/>
          <w:i/>
          <w:iCs/>
          <w:color w:val="FF0000"/>
          <w:lang w:eastAsia="cs-CZ"/>
        </w:rPr>
        <w:t xml:space="preserve"> </w:t>
      </w:r>
      <w:r>
        <w:rPr>
          <w:rFonts w:ascii="Segoe UI" w:eastAsia="Times New Roman" w:hAnsi="Segoe UI" w:cs="Segoe UI"/>
          <w:i/>
          <w:iCs/>
          <w:lang w:eastAsia="cs-CZ"/>
        </w:rPr>
        <w:t xml:space="preserve">že poslední dobou se sešlo několik výjimečně teplých a suchých let po sobě, ale potřebovali jsme přesné rekonstrukce historických podmínek, abychom zjistili, jak tyto extrémy vypadají v porovnání s předchozími roky,“ </w:t>
      </w:r>
      <w:r w:rsidRPr="0034009B">
        <w:rPr>
          <w:rFonts w:ascii="Segoe UI" w:eastAsia="Times New Roman" w:hAnsi="Segoe UI" w:cs="Segoe UI"/>
          <w:iCs/>
          <w:lang w:eastAsia="cs-CZ"/>
        </w:rPr>
        <w:t xml:space="preserve">řekl hlavní autor studie profesor Ulf </w:t>
      </w:r>
      <w:proofErr w:type="spellStart"/>
      <w:r w:rsidRPr="0034009B">
        <w:rPr>
          <w:rFonts w:ascii="Segoe UI" w:eastAsia="Times New Roman" w:hAnsi="Segoe UI" w:cs="Segoe UI"/>
          <w:iCs/>
          <w:lang w:eastAsia="cs-CZ"/>
        </w:rPr>
        <w:t>Büntgen</w:t>
      </w:r>
      <w:proofErr w:type="spellEnd"/>
      <w:r w:rsidRPr="0034009B">
        <w:rPr>
          <w:rFonts w:ascii="Segoe UI" w:eastAsia="Times New Roman" w:hAnsi="Segoe UI" w:cs="Segoe UI"/>
          <w:iCs/>
          <w:lang w:eastAsia="cs-CZ"/>
        </w:rPr>
        <w:t xml:space="preserve"> z katedry geografie Univerzity v Cambridge a vedoucí výzkumný pracovník na Ústavu výzkumu globální změny AV ČR - </w:t>
      </w:r>
      <w:proofErr w:type="spellStart"/>
      <w:r w:rsidRPr="0034009B">
        <w:rPr>
          <w:rFonts w:ascii="Segoe UI" w:eastAsia="Times New Roman" w:hAnsi="Segoe UI" w:cs="Segoe UI"/>
          <w:iCs/>
          <w:lang w:eastAsia="cs-CZ"/>
        </w:rPr>
        <w:t>CzechGlobe</w:t>
      </w:r>
      <w:proofErr w:type="spellEnd"/>
      <w:r w:rsidRPr="0034009B">
        <w:rPr>
          <w:rFonts w:ascii="Segoe UI" w:eastAsia="Times New Roman" w:hAnsi="Segoe UI" w:cs="Segoe UI"/>
          <w:iCs/>
          <w:lang w:eastAsia="cs-CZ"/>
        </w:rPr>
        <w:t xml:space="preserve"> v Brně.</w:t>
      </w:r>
      <w:r>
        <w:rPr>
          <w:rFonts w:ascii="Segoe UI" w:eastAsia="Times New Roman" w:hAnsi="Segoe UI" w:cs="Segoe UI"/>
          <w:i/>
          <w:iCs/>
          <w:lang w:eastAsia="cs-CZ"/>
        </w:rPr>
        <w:t xml:space="preserve"> "Naše výsledky ukazují, že série mimořádně suchých let od roku 2015 je ve střední Evropě mimořádná i v kontextu posledních </w:t>
      </w:r>
      <w:r w:rsidR="006D7CDF">
        <w:rPr>
          <w:rFonts w:ascii="Segoe UI" w:eastAsia="Times New Roman" w:hAnsi="Segoe UI" w:cs="Segoe UI"/>
          <w:i/>
          <w:iCs/>
          <w:lang w:eastAsia="cs-CZ"/>
        </w:rPr>
        <w:t>dvou</w:t>
      </w:r>
      <w:r>
        <w:rPr>
          <w:rFonts w:ascii="Segoe UI" w:eastAsia="Times New Roman" w:hAnsi="Segoe UI" w:cs="Segoe UI"/>
          <w:i/>
          <w:iCs/>
          <w:lang w:eastAsia="cs-CZ"/>
        </w:rPr>
        <w:t xml:space="preserve"> tisíciletí,“ </w:t>
      </w:r>
      <w:r w:rsidRPr="0034009B">
        <w:rPr>
          <w:rFonts w:ascii="Segoe UI" w:eastAsia="Times New Roman" w:hAnsi="Segoe UI" w:cs="Segoe UI"/>
          <w:iCs/>
          <w:lang w:eastAsia="cs-CZ"/>
        </w:rPr>
        <w:t>uvedl Büntgen.</w:t>
      </w:r>
      <w:r>
        <w:rPr>
          <w:rFonts w:ascii="Segoe UI" w:eastAsia="Times New Roman" w:hAnsi="Segoe UI" w:cs="Segoe UI"/>
          <w:i/>
          <w:iCs/>
          <w:lang w:eastAsia="cs-CZ"/>
        </w:rPr>
        <w:t xml:space="preserve"> </w:t>
      </w:r>
    </w:p>
    <w:p w:rsidR="00C9612B" w:rsidRDefault="00C9612B">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Segoe UI" w:eastAsia="Times New Roman" w:hAnsi="Segoe UI" w:cs="Segoe UI"/>
          <w:lang w:eastAsia="cs-CZ"/>
        </w:rPr>
      </w:pPr>
    </w:p>
    <w:p w:rsidR="0034009B" w:rsidRDefault="007C4690">
      <w:pPr>
        <w:pStyle w:val="FormtovanvHTML"/>
        <w:rPr>
          <w:rFonts w:ascii="Segoe UI" w:hAnsi="Segoe UI" w:cs="Segoe UI"/>
          <w:i/>
          <w:iCs/>
          <w:sz w:val="22"/>
          <w:szCs w:val="22"/>
        </w:rPr>
      </w:pPr>
      <w:r w:rsidRPr="0034009B">
        <w:rPr>
          <w:rFonts w:ascii="Segoe UI" w:hAnsi="Segoe UI" w:cs="Segoe UI"/>
          <w:iCs/>
          <w:sz w:val="22"/>
          <w:szCs w:val="22"/>
        </w:rPr>
        <w:t xml:space="preserve">Ulf </w:t>
      </w:r>
      <w:proofErr w:type="spellStart"/>
      <w:r w:rsidRPr="0034009B">
        <w:rPr>
          <w:rFonts w:ascii="Segoe UI" w:hAnsi="Segoe UI" w:cs="Segoe UI"/>
          <w:iCs/>
          <w:sz w:val="22"/>
          <w:szCs w:val="22"/>
        </w:rPr>
        <w:t>Büntgen</w:t>
      </w:r>
      <w:proofErr w:type="spellEnd"/>
      <w:r w:rsidRPr="0034009B">
        <w:rPr>
          <w:rFonts w:ascii="Segoe UI" w:hAnsi="Segoe UI" w:cs="Segoe UI"/>
          <w:iCs/>
          <w:sz w:val="22"/>
          <w:szCs w:val="22"/>
        </w:rPr>
        <w:t xml:space="preserve"> vedl tým vědců z Ústavu výzkumu globální změny AV ČR - </w:t>
      </w:r>
      <w:proofErr w:type="spellStart"/>
      <w:r w:rsidRPr="0034009B">
        <w:rPr>
          <w:rFonts w:ascii="Segoe UI" w:hAnsi="Segoe UI" w:cs="Segoe UI"/>
          <w:iCs/>
          <w:sz w:val="22"/>
          <w:szCs w:val="22"/>
        </w:rPr>
        <w:t>CzechGlobe</w:t>
      </w:r>
      <w:proofErr w:type="spellEnd"/>
      <w:r w:rsidRPr="0034009B">
        <w:rPr>
          <w:rFonts w:ascii="Segoe UI" w:hAnsi="Segoe UI" w:cs="Segoe UI"/>
          <w:iCs/>
          <w:sz w:val="22"/>
          <w:szCs w:val="22"/>
        </w:rPr>
        <w:t xml:space="preserve"> doplněný o kolegy ze dvou brněnských univerzit a pracovišť v Německu a Švýcarsku. Studie je založena na izotopových měřeních provedených v laboratoři </w:t>
      </w:r>
      <w:proofErr w:type="spellStart"/>
      <w:r w:rsidRPr="0034009B">
        <w:rPr>
          <w:rFonts w:ascii="Segoe UI" w:hAnsi="Segoe UI" w:cs="Segoe UI"/>
          <w:iCs/>
          <w:sz w:val="22"/>
          <w:szCs w:val="22"/>
        </w:rPr>
        <w:t>CzechGlobe</w:t>
      </w:r>
      <w:proofErr w:type="spellEnd"/>
      <w:r w:rsidRPr="0034009B">
        <w:rPr>
          <w:rFonts w:ascii="Segoe UI" w:hAnsi="Segoe UI" w:cs="Segoe UI"/>
          <w:iCs/>
          <w:sz w:val="22"/>
          <w:szCs w:val="22"/>
        </w:rPr>
        <w:t>, kde byly pod vedením doc.</w:t>
      </w:r>
      <w:r>
        <w:rPr>
          <w:rFonts w:ascii="Segoe UI" w:hAnsi="Segoe UI" w:cs="Segoe UI"/>
          <w:i/>
          <w:iCs/>
          <w:sz w:val="22"/>
          <w:szCs w:val="22"/>
        </w:rPr>
        <w:t xml:space="preserve"> </w:t>
      </w:r>
    </w:p>
    <w:p w:rsidR="0034009B" w:rsidRDefault="0034009B">
      <w:pPr>
        <w:pStyle w:val="FormtovanvHTML"/>
        <w:rPr>
          <w:rFonts w:ascii="Segoe UI" w:hAnsi="Segoe UI" w:cs="Segoe UI"/>
          <w:i/>
          <w:iCs/>
          <w:sz w:val="22"/>
          <w:szCs w:val="22"/>
        </w:rPr>
      </w:pPr>
    </w:p>
    <w:p w:rsidR="00E12E2B" w:rsidRPr="0034009B" w:rsidRDefault="007C4690">
      <w:pPr>
        <w:pStyle w:val="FormtovanvHTML"/>
        <w:rPr>
          <w:rFonts w:ascii="Segoe UI" w:hAnsi="Segoe UI" w:cs="Segoe UI"/>
          <w:iCs/>
        </w:rPr>
      </w:pPr>
      <w:r w:rsidRPr="0034009B">
        <w:rPr>
          <w:rFonts w:ascii="Segoe UI" w:hAnsi="Segoe UI" w:cs="Segoe UI"/>
          <w:iCs/>
          <w:sz w:val="22"/>
          <w:szCs w:val="22"/>
        </w:rPr>
        <w:t xml:space="preserve">Otmara Urbana analyzovány poměry izotopů uhlíku a kyslíku </w:t>
      </w:r>
      <w:r w:rsidR="00C9612B" w:rsidRPr="0034009B">
        <w:rPr>
          <w:rFonts w:ascii="Segoe UI" w:hAnsi="Segoe UI" w:cs="Segoe UI"/>
          <w:iCs/>
          <w:sz w:val="22"/>
          <w:szCs w:val="22"/>
        </w:rPr>
        <w:t>13</w:t>
      </w:r>
      <w:r w:rsidRPr="0034009B">
        <w:rPr>
          <w:rFonts w:ascii="Segoe UI" w:hAnsi="Segoe UI" w:cs="Segoe UI"/>
          <w:iCs/>
          <w:sz w:val="22"/>
          <w:szCs w:val="22"/>
        </w:rPr>
        <w:t xml:space="preserve"> </w:t>
      </w:r>
      <w:r w:rsidR="00C9612B" w:rsidRPr="0034009B">
        <w:rPr>
          <w:rFonts w:ascii="Segoe UI" w:hAnsi="Segoe UI" w:cs="Segoe UI"/>
          <w:iCs/>
          <w:sz w:val="22"/>
          <w:szCs w:val="22"/>
        </w:rPr>
        <w:t>5</w:t>
      </w:r>
      <w:r w:rsidRPr="0034009B">
        <w:rPr>
          <w:rFonts w:ascii="Segoe UI" w:hAnsi="Segoe UI" w:cs="Segoe UI"/>
          <w:iCs/>
          <w:sz w:val="22"/>
          <w:szCs w:val="22"/>
        </w:rPr>
        <w:t xml:space="preserve">00 letokruhů ze 147 vzorků živých i mrtvých evropských dubů. Vzorky mrtvého dřeva byly vybrány ze souboru přesně datovaných dubových letokruhů z historických dřevěných konstrukcí, archeologických nálezů a subfosilních kmenů z archivu Ústavu nauky o dřevě a dřevařských technologií Mendelovy univerzity v Brně. Většina vzorků použitých pro tuto studii pochází z území České republiky a pouze v některých obdobích je bylo nutné doplnit o materiál z jihovýchodního Bavorska. Nejstarší vzorky pocházejí z letokruhů stromů, které rostly v době Césarova dětství a nejmladší z roku 2018. Roky 2019 a 2020 budou do rekonstrukce klimatu doplněny v nejbližší době. Díky systematické práci započaté v roce 2015 vznikla dosud největší a nejpodrobnější souvislá řada údajů o letních </w:t>
      </w:r>
      <w:proofErr w:type="spellStart"/>
      <w:r w:rsidRPr="0034009B">
        <w:rPr>
          <w:rFonts w:ascii="Segoe UI" w:hAnsi="Segoe UI" w:cs="Segoe UI"/>
          <w:iCs/>
          <w:sz w:val="22"/>
          <w:szCs w:val="22"/>
        </w:rPr>
        <w:t>hydroklimatických</w:t>
      </w:r>
      <w:proofErr w:type="spellEnd"/>
      <w:r w:rsidRPr="0034009B">
        <w:rPr>
          <w:rFonts w:ascii="Segoe UI" w:hAnsi="Segoe UI" w:cs="Segoe UI"/>
          <w:iCs/>
          <w:sz w:val="22"/>
          <w:szCs w:val="22"/>
        </w:rPr>
        <w:t xml:space="preserve"> podmínkách ve střední Evropě.</w:t>
      </w:r>
    </w:p>
    <w:p w:rsidR="00E12E2B" w:rsidRDefault="00E12E2B">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Segoe UI" w:hAnsi="Segoe UI" w:cs="Segoe UI"/>
        </w:rPr>
      </w:pPr>
    </w:p>
    <w:p w:rsidR="00E12E2B" w:rsidRPr="0034009B" w:rsidRDefault="007C4690">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Segoe UI" w:eastAsia="Times New Roman" w:hAnsi="Segoe UI" w:cs="Segoe UI"/>
          <w:iCs/>
          <w:lang w:eastAsia="cs-CZ"/>
        </w:rPr>
      </w:pPr>
      <w:r w:rsidRPr="0034009B">
        <w:rPr>
          <w:rFonts w:ascii="Segoe UI" w:eastAsia="Times New Roman" w:hAnsi="Segoe UI" w:cs="Segoe UI"/>
          <w:iCs/>
          <w:lang w:eastAsia="cs-CZ"/>
        </w:rPr>
        <w:t>Podle dendrochronologů Michala Rybníčka a Tomáše Koláře z </w:t>
      </w:r>
      <w:proofErr w:type="spellStart"/>
      <w:r w:rsidRPr="0034009B">
        <w:rPr>
          <w:rFonts w:ascii="Segoe UI" w:eastAsia="Times New Roman" w:hAnsi="Segoe UI" w:cs="Segoe UI"/>
          <w:iCs/>
          <w:lang w:eastAsia="cs-CZ"/>
        </w:rPr>
        <w:t>CzechGlobe</w:t>
      </w:r>
      <w:proofErr w:type="spellEnd"/>
      <w:r w:rsidRPr="0034009B">
        <w:rPr>
          <w:rFonts w:ascii="Segoe UI" w:eastAsia="Times New Roman" w:hAnsi="Segoe UI" w:cs="Segoe UI"/>
          <w:iCs/>
          <w:lang w:eastAsia="cs-CZ"/>
        </w:rPr>
        <w:t xml:space="preserve"> a Mendelovy univerzity poskytují stabilní izotopy letokruhů mnohem přesnější záznam pro rekonstrukci </w:t>
      </w:r>
      <w:proofErr w:type="spellStart"/>
      <w:r w:rsidRPr="0034009B">
        <w:rPr>
          <w:rFonts w:ascii="Segoe UI" w:eastAsia="Times New Roman" w:hAnsi="Segoe UI" w:cs="Segoe UI"/>
          <w:iCs/>
          <w:lang w:eastAsia="cs-CZ"/>
        </w:rPr>
        <w:t>hydroklimatických</w:t>
      </w:r>
      <w:proofErr w:type="spellEnd"/>
      <w:r w:rsidRPr="0034009B">
        <w:rPr>
          <w:rFonts w:ascii="Segoe UI" w:eastAsia="Times New Roman" w:hAnsi="Segoe UI" w:cs="Segoe UI"/>
          <w:iCs/>
          <w:lang w:eastAsia="cs-CZ"/>
        </w:rPr>
        <w:t xml:space="preserve"> podmínek v mírných oblastech než konvenční studie letokruhů, které často selhávají. Údaje získané analýzou stabilních izotopů lépe odrážejí fyziologické podmínky růstu stromů než klasická dendrochronologická data, zejména šířky letokruhů a hustota dřeva.</w:t>
      </w:r>
      <w:r>
        <w:rPr>
          <w:rFonts w:ascii="Segoe UI" w:eastAsia="Times New Roman" w:hAnsi="Segoe UI" w:cs="Segoe UI"/>
          <w:i/>
          <w:iCs/>
          <w:lang w:eastAsia="cs-CZ"/>
        </w:rPr>
        <w:t xml:space="preserve"> "Zatímco hodnoty uhlíku závisí na fotosyntetické aktivitě stromů, hodnoty kyslíku jsou ovlivněny spíše dostupností vody v půdě. Společně úzce korelují s </w:t>
      </w:r>
      <w:proofErr w:type="spellStart"/>
      <w:r>
        <w:rPr>
          <w:rFonts w:ascii="Segoe UI" w:eastAsia="Times New Roman" w:hAnsi="Segoe UI" w:cs="Segoe UI"/>
          <w:i/>
          <w:iCs/>
          <w:lang w:eastAsia="cs-CZ"/>
        </w:rPr>
        <w:t>hydroklimatickými</w:t>
      </w:r>
      <w:proofErr w:type="spellEnd"/>
      <w:r>
        <w:rPr>
          <w:rFonts w:ascii="Segoe UI" w:eastAsia="Times New Roman" w:hAnsi="Segoe UI" w:cs="Segoe UI"/>
          <w:i/>
          <w:iCs/>
          <w:lang w:eastAsia="cs-CZ"/>
        </w:rPr>
        <w:t xml:space="preserve"> podmínkami daného vegetačního období,“ </w:t>
      </w:r>
      <w:r w:rsidRPr="0034009B">
        <w:rPr>
          <w:rFonts w:ascii="Segoe UI" w:eastAsia="Times New Roman" w:hAnsi="Segoe UI" w:cs="Segoe UI"/>
          <w:iCs/>
          <w:lang w:eastAsia="cs-CZ"/>
        </w:rPr>
        <w:t>vysvětlil expert na ekofyziologii rostlin Otmar Urban.</w:t>
      </w:r>
    </w:p>
    <w:p w:rsidR="00E12E2B" w:rsidRDefault="00E12E2B">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Segoe UI" w:eastAsia="Times New Roman" w:hAnsi="Segoe UI" w:cs="Segoe UI"/>
          <w:lang w:eastAsia="cs-CZ"/>
        </w:rPr>
      </w:pPr>
    </w:p>
    <w:p w:rsidR="00E12E2B" w:rsidRPr="00E53ADE" w:rsidRDefault="007C4690">
      <w:pPr>
        <w:pStyle w:val="FormtovanvHTML"/>
        <w:rPr>
          <w:rFonts w:ascii="Segoe UI" w:hAnsi="Segoe UI" w:cs="Segoe UI"/>
          <w:sz w:val="22"/>
          <w:szCs w:val="22"/>
        </w:rPr>
      </w:pPr>
      <w:r w:rsidRPr="0034009B">
        <w:rPr>
          <w:rFonts w:ascii="Segoe UI" w:hAnsi="Segoe UI" w:cs="Segoe UI"/>
          <w:iCs/>
          <w:sz w:val="22"/>
          <w:szCs w:val="22"/>
        </w:rPr>
        <w:t>V období posledních 2110 let se vyskytla mimořádně vlhká léta, z nichž tři nejvýraznější spadají do let 183, 899 a 728 n. l. Naopak mezi tři nejsušší patřily roky 1509, 1508 a 2018 n. l. Období 2014-2018 bylo nejsušší pětileté období v celé datové řadě. V souhrnu výsledky studie ukazují, že za poslední dvě tisíciletí střední Evropa pomalu vysychá.</w:t>
      </w:r>
      <w:r>
        <w:rPr>
          <w:rFonts w:ascii="Segoe UI" w:hAnsi="Segoe UI" w:cs="Segoe UI"/>
          <w:i/>
          <w:iCs/>
          <w:sz w:val="22"/>
          <w:szCs w:val="22"/>
        </w:rPr>
        <w:t xml:space="preserve"> „Po staletích pomalého vysychání jsme ve 20. století zaznamenali zrychlující se pokles zvoleného indexu sucha, což je obzvláště alarmující pro zemědělství a lesnictví. Ve světle těchto výsledků je bezprecedentní odumírání smrkových lesů v oblastech zahrnutých v naší rekonstrukci logickým důsledkem,” </w:t>
      </w:r>
      <w:r w:rsidRPr="0034009B">
        <w:rPr>
          <w:rFonts w:ascii="Segoe UI" w:hAnsi="Segoe UI" w:cs="Segoe UI"/>
          <w:iCs/>
          <w:sz w:val="22"/>
          <w:szCs w:val="22"/>
        </w:rPr>
        <w:t xml:space="preserve">uvedl spoluautor studie bioklimatolog Mirek Trnka z </w:t>
      </w:r>
      <w:proofErr w:type="spellStart"/>
      <w:r w:rsidRPr="0034009B">
        <w:rPr>
          <w:rFonts w:ascii="Segoe UI" w:hAnsi="Segoe UI" w:cs="Segoe UI"/>
          <w:iCs/>
          <w:sz w:val="22"/>
          <w:szCs w:val="22"/>
        </w:rPr>
        <w:t>CzechGlobe</w:t>
      </w:r>
      <w:proofErr w:type="spellEnd"/>
      <w:r w:rsidRPr="0034009B">
        <w:rPr>
          <w:rFonts w:ascii="Segoe UI" w:hAnsi="Segoe UI" w:cs="Segoe UI"/>
          <w:iCs/>
          <w:sz w:val="22"/>
          <w:szCs w:val="22"/>
        </w:rPr>
        <w:t xml:space="preserve">. Jak dále zdůraznil, změna klimatu neznamená, že bude všude a vždy větší sucho. </w:t>
      </w:r>
      <w:r>
        <w:rPr>
          <w:rFonts w:ascii="Segoe UI" w:hAnsi="Segoe UI" w:cs="Segoe UI"/>
          <w:i/>
          <w:iCs/>
          <w:sz w:val="22"/>
          <w:szCs w:val="22"/>
        </w:rPr>
        <w:t>„Některá období na našem území budou na srážky bohaté, a to i extrémně, ale jak porostou teploty bude se zvyšovat i pravděpodobnost výskytu jak extrémně vysokých teplot, tak</w:t>
      </w:r>
      <w:bookmarkStart w:id="1" w:name="Bookmark1"/>
      <w:bookmarkEnd w:id="1"/>
      <w:r>
        <w:rPr>
          <w:rFonts w:ascii="Segoe UI" w:hAnsi="Segoe UI" w:cs="Segoe UI"/>
          <w:i/>
          <w:iCs/>
          <w:sz w:val="22"/>
          <w:szCs w:val="22"/>
        </w:rPr>
        <w:t xml:space="preserve"> dlouhých epizod sucha. Bez adaptačních opatření negativně ovlivní nejen ekosystémy i kvalitu našeho života,“ </w:t>
      </w:r>
      <w:r w:rsidRPr="00E53ADE">
        <w:rPr>
          <w:rFonts w:ascii="Segoe UI" w:hAnsi="Segoe UI" w:cs="Segoe UI"/>
          <w:iCs/>
          <w:sz w:val="22"/>
          <w:szCs w:val="22"/>
        </w:rPr>
        <w:t>dodal Trnka.</w:t>
      </w:r>
    </w:p>
    <w:p w:rsidR="00E12E2B" w:rsidRDefault="00E12E2B">
      <w:pPr>
        <w:pStyle w:val="FormtovanvHTML"/>
        <w:rPr>
          <w:rFonts w:ascii="Segoe UI" w:hAnsi="Segoe UI" w:cs="Segoe UI"/>
          <w:sz w:val="22"/>
          <w:szCs w:val="22"/>
        </w:rPr>
      </w:pPr>
    </w:p>
    <w:p w:rsidR="00E12E2B" w:rsidRDefault="007C4690">
      <w:pPr>
        <w:pStyle w:val="FormtovanvHTML"/>
        <w:rPr>
          <w:i/>
          <w:iCs/>
        </w:rPr>
      </w:pPr>
      <w:r w:rsidRPr="00E53ADE">
        <w:rPr>
          <w:rFonts w:ascii="Segoe UI" w:hAnsi="Segoe UI" w:cs="Segoe UI"/>
          <w:iCs/>
          <w:sz w:val="22"/>
          <w:szCs w:val="22"/>
        </w:rPr>
        <w:t>Na závěr profesor Trnka vyzdvihl důležitost systematického výzkumu vlhkostního režimu v minulosti, protože poskytuje kontext nejen k aktuálním problémům, ale i k očekávané změně klimatu.</w:t>
      </w:r>
      <w:r>
        <w:rPr>
          <w:rFonts w:ascii="Segoe UI" w:hAnsi="Segoe UI" w:cs="Segoe UI"/>
          <w:i/>
          <w:iCs/>
          <w:sz w:val="22"/>
          <w:szCs w:val="22"/>
        </w:rPr>
        <w:t xml:space="preserve"> „Právě systematická a dlouhodobá podpora ze strany </w:t>
      </w:r>
      <w:proofErr w:type="spellStart"/>
      <w:r>
        <w:rPr>
          <w:rFonts w:ascii="Segoe UI" w:hAnsi="Segoe UI" w:cs="Segoe UI"/>
          <w:i/>
          <w:iCs/>
          <w:sz w:val="22"/>
          <w:szCs w:val="22"/>
        </w:rPr>
        <w:t>CzechGlobe</w:t>
      </w:r>
      <w:proofErr w:type="spellEnd"/>
      <w:r>
        <w:rPr>
          <w:rFonts w:ascii="Segoe UI" w:hAnsi="Segoe UI" w:cs="Segoe UI"/>
          <w:i/>
          <w:iCs/>
          <w:sz w:val="22"/>
          <w:szCs w:val="22"/>
        </w:rPr>
        <w:t xml:space="preserve"> a spolupráce českých a zahraničních institucí byla pro vytvoření této unikátní studie klíčová,“ </w:t>
      </w:r>
      <w:r w:rsidRPr="00E53ADE">
        <w:rPr>
          <w:rFonts w:ascii="Segoe UI" w:hAnsi="Segoe UI" w:cs="Segoe UI"/>
          <w:iCs/>
          <w:sz w:val="22"/>
          <w:szCs w:val="22"/>
        </w:rPr>
        <w:t>řekl Trnka</w:t>
      </w:r>
      <w:r>
        <w:rPr>
          <w:rFonts w:ascii="Segoe UI" w:hAnsi="Segoe UI" w:cs="Segoe UI"/>
          <w:i/>
          <w:iCs/>
          <w:sz w:val="22"/>
          <w:szCs w:val="22"/>
        </w:rPr>
        <w:t>.</w:t>
      </w:r>
    </w:p>
    <w:p w:rsidR="00E12E2B" w:rsidRDefault="00E12E2B">
      <w:pPr>
        <w:pStyle w:val="FormtovanvHTML"/>
        <w:rPr>
          <w:rFonts w:ascii="Segoe UI" w:hAnsi="Segoe UI" w:cs="Segoe UI"/>
          <w:i/>
          <w:iCs/>
          <w:sz w:val="22"/>
          <w:szCs w:val="22"/>
        </w:rPr>
      </w:pPr>
    </w:p>
    <w:p w:rsidR="00E12E2B" w:rsidRDefault="007C4690">
      <w:pPr>
        <w:pStyle w:val="Standard"/>
      </w:pPr>
      <w:r>
        <w:rPr>
          <w:rFonts w:ascii="Segoe UI" w:hAnsi="Segoe UI" w:cs="Segoe UI"/>
          <w:b/>
        </w:rPr>
        <w:t>Reference:</w:t>
      </w:r>
      <w:r w:rsidR="00C9612B">
        <w:t xml:space="preserve"> </w:t>
      </w:r>
      <w:r>
        <w:rPr>
          <w:i/>
        </w:rPr>
        <w:t xml:space="preserve">Ulf </w:t>
      </w:r>
      <w:proofErr w:type="spellStart"/>
      <w:r>
        <w:rPr>
          <w:i/>
        </w:rPr>
        <w:t>Büntgen</w:t>
      </w:r>
      <w:proofErr w:type="spellEnd"/>
      <w:r>
        <w:rPr>
          <w:i/>
        </w:rPr>
        <w:t xml:space="preserve"> et al. ‘</w:t>
      </w:r>
      <w:proofErr w:type="spellStart"/>
      <w:r>
        <w:rPr>
          <w:i/>
        </w:rPr>
        <w:t>Recent</w:t>
      </w:r>
      <w:proofErr w:type="spellEnd"/>
      <w:r>
        <w:rPr>
          <w:i/>
        </w:rPr>
        <w:t xml:space="preserve"> </w:t>
      </w:r>
      <w:proofErr w:type="spellStart"/>
      <w:r>
        <w:rPr>
          <w:i/>
        </w:rPr>
        <w:t>European</w:t>
      </w:r>
      <w:proofErr w:type="spellEnd"/>
      <w:r>
        <w:rPr>
          <w:i/>
        </w:rPr>
        <w:t xml:space="preserve"> </w:t>
      </w:r>
      <w:proofErr w:type="spellStart"/>
      <w:r>
        <w:rPr>
          <w:i/>
        </w:rPr>
        <w:t>drought</w:t>
      </w:r>
      <w:proofErr w:type="spellEnd"/>
      <w:r>
        <w:rPr>
          <w:i/>
        </w:rPr>
        <w:t xml:space="preserve"> </w:t>
      </w:r>
      <w:proofErr w:type="spellStart"/>
      <w:r>
        <w:rPr>
          <w:i/>
        </w:rPr>
        <w:t>extremes</w:t>
      </w:r>
      <w:proofErr w:type="spellEnd"/>
      <w:r>
        <w:rPr>
          <w:i/>
        </w:rPr>
        <w:t xml:space="preserve"> </w:t>
      </w:r>
      <w:proofErr w:type="spellStart"/>
      <w:r>
        <w:rPr>
          <w:i/>
        </w:rPr>
        <w:t>beyond</w:t>
      </w:r>
      <w:proofErr w:type="spellEnd"/>
      <w:r>
        <w:rPr>
          <w:i/>
        </w:rPr>
        <w:t xml:space="preserve"> </w:t>
      </w:r>
      <w:proofErr w:type="spellStart"/>
      <w:r>
        <w:rPr>
          <w:i/>
        </w:rPr>
        <w:t>Common</w:t>
      </w:r>
      <w:proofErr w:type="spellEnd"/>
      <w:r>
        <w:rPr>
          <w:i/>
        </w:rPr>
        <w:t xml:space="preserve"> Era background variability.’ </w:t>
      </w:r>
      <w:proofErr w:type="spellStart"/>
      <w:r>
        <w:rPr>
          <w:i/>
        </w:rPr>
        <w:t>Nature</w:t>
      </w:r>
      <w:proofErr w:type="spellEnd"/>
      <w:r>
        <w:rPr>
          <w:i/>
        </w:rPr>
        <w:t xml:space="preserve"> </w:t>
      </w:r>
      <w:proofErr w:type="spellStart"/>
      <w:r>
        <w:rPr>
          <w:i/>
        </w:rPr>
        <w:t>Geoscience</w:t>
      </w:r>
      <w:proofErr w:type="spellEnd"/>
      <w:r>
        <w:rPr>
          <w:i/>
        </w:rPr>
        <w:t xml:space="preserve"> (2021). DOI: </w:t>
      </w:r>
      <w:hyperlink r:id="rId6" w:history="1">
        <w:r>
          <w:rPr>
            <w:i/>
          </w:rPr>
          <w:t>10.1038/s41561-021-00698-0</w:t>
        </w:r>
      </w:hyperlink>
    </w:p>
    <w:p w:rsidR="00E53ADE" w:rsidRDefault="00E53ADE">
      <w:pPr>
        <w:pStyle w:val="Standard"/>
        <w:rPr>
          <w:rFonts w:ascii="Segoe UI" w:hAnsi="Segoe UI" w:cs="Segoe UI"/>
          <w:b/>
        </w:rPr>
      </w:pPr>
    </w:p>
    <w:p w:rsidR="00E12E2B" w:rsidRDefault="007C4690">
      <w:pPr>
        <w:pStyle w:val="Standard"/>
      </w:pPr>
      <w:r>
        <w:rPr>
          <w:rFonts w:ascii="Segoe UI" w:hAnsi="Segoe UI" w:cs="Segoe UI"/>
          <w:b/>
        </w:rPr>
        <w:t>Další informace – kontakt pro média:</w:t>
      </w:r>
    </w:p>
    <w:p w:rsidR="00E12E2B" w:rsidRDefault="007C4690">
      <w:pPr>
        <w:pStyle w:val="Standard"/>
        <w:spacing w:after="0"/>
      </w:pPr>
      <w:r>
        <w:rPr>
          <w:rFonts w:ascii="Segoe UI" w:hAnsi="Segoe UI" w:cs="Segoe UI"/>
        </w:rPr>
        <w:t>prof. Miroslav Trnk</w:t>
      </w:r>
      <w:r w:rsidR="00E53ADE">
        <w:rPr>
          <w:rFonts w:ascii="Segoe UI" w:hAnsi="Segoe UI" w:cs="Segoe UI"/>
        </w:rPr>
        <w:t>a, Ústav výzkumu globální změny AV ČR</w:t>
      </w:r>
    </w:p>
    <w:p w:rsidR="00E12E2B" w:rsidRDefault="007C4690">
      <w:pPr>
        <w:pStyle w:val="Standard"/>
        <w:spacing w:after="0"/>
      </w:pPr>
      <w:r>
        <w:rPr>
          <w:rFonts w:ascii="Segoe UI" w:hAnsi="Segoe UI" w:cs="Segoe UI"/>
        </w:rPr>
        <w:t xml:space="preserve">email: </w:t>
      </w:r>
      <w:hyperlink r:id="rId7" w:history="1">
        <w:r>
          <w:rPr>
            <w:rFonts w:ascii="Segoe UI" w:hAnsi="Segoe UI" w:cs="Segoe UI"/>
          </w:rPr>
          <w:t>mirek_trnka</w:t>
        </w:r>
      </w:hyperlink>
      <w:hyperlink r:id="rId8" w:history="1">
        <w:r>
          <w:rPr>
            <w:rFonts w:ascii="Segoe UI" w:hAnsi="Segoe UI" w:cs="Segoe UI"/>
            <w:lang w:val="en-US"/>
          </w:rPr>
          <w:t>@</w:t>
        </w:r>
      </w:hyperlink>
      <w:hyperlink r:id="rId9" w:history="1">
        <w:r>
          <w:rPr>
            <w:rFonts w:ascii="Segoe UI" w:hAnsi="Segoe UI" w:cs="Segoe UI"/>
          </w:rPr>
          <w:t>yahoo.com</w:t>
        </w:r>
      </w:hyperlink>
      <w:r>
        <w:rPr>
          <w:rFonts w:ascii="Segoe UI" w:hAnsi="Segoe UI" w:cs="Segoe UI"/>
        </w:rPr>
        <w:t>;</w:t>
      </w:r>
    </w:p>
    <w:p w:rsidR="00E12E2B" w:rsidRDefault="007C4690">
      <w:pPr>
        <w:pStyle w:val="Standard"/>
        <w:spacing w:after="0"/>
      </w:pPr>
      <w:r>
        <w:rPr>
          <w:rFonts w:ascii="Segoe UI" w:hAnsi="Segoe UI" w:cs="Segoe UI"/>
        </w:rPr>
        <w:t>mobil (ideálně nejdříve SMS):  725 950 927.</w:t>
      </w:r>
    </w:p>
    <w:p w:rsidR="00E12E2B" w:rsidRDefault="00E12E2B">
      <w:pPr>
        <w:pStyle w:val="Standard"/>
        <w:spacing w:after="0"/>
        <w:rPr>
          <w:rFonts w:ascii="Tahoma" w:hAnsi="Tahoma" w:cs="Tahoma"/>
          <w:sz w:val="20"/>
          <w:szCs w:val="20"/>
        </w:rPr>
      </w:pPr>
    </w:p>
    <w:p w:rsidR="00E12E2B" w:rsidRPr="00E53ADE" w:rsidRDefault="007C4690">
      <w:pPr>
        <w:pStyle w:val="Standard"/>
        <w:spacing w:after="0"/>
        <w:rPr>
          <w:rFonts w:ascii="Segoe UI" w:hAnsi="Segoe UI" w:cs="Segoe UI"/>
        </w:rPr>
      </w:pPr>
      <w:r w:rsidRPr="00E53ADE">
        <w:rPr>
          <w:rFonts w:ascii="Segoe UI" w:hAnsi="Segoe UI" w:cs="Segoe UI"/>
          <w:b/>
        </w:rPr>
        <w:t>Obrazové podklady:</w:t>
      </w:r>
    </w:p>
    <w:p w:rsidR="00E12E2B" w:rsidRDefault="00E12E2B">
      <w:pPr>
        <w:pStyle w:val="Standard"/>
        <w:spacing w:after="0"/>
        <w:rPr>
          <w:rFonts w:ascii="Tahoma" w:hAnsi="Tahoma" w:cs="Tahoma"/>
          <w:sz w:val="20"/>
          <w:szCs w:val="20"/>
        </w:rPr>
      </w:pPr>
    </w:p>
    <w:p w:rsidR="00E12E2B" w:rsidRDefault="007C4690">
      <w:pPr>
        <w:pStyle w:val="Standard"/>
      </w:pPr>
      <w:r>
        <w:rPr>
          <w:noProof/>
          <w:lang w:eastAsia="cs-CZ"/>
        </w:rPr>
        <w:drawing>
          <wp:inline distT="0" distB="0" distL="0" distR="0">
            <wp:extent cx="5652720" cy="2643480"/>
            <wp:effectExtent l="0" t="0" r="5130" b="4470"/>
            <wp:docPr id="11" name="Obrázek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5652720" cy="2643480"/>
                    </a:xfrm>
                    <a:prstGeom prst="rect">
                      <a:avLst/>
                    </a:prstGeom>
                    <a:ln>
                      <a:noFill/>
                      <a:prstDash/>
                    </a:ln>
                  </pic:spPr>
                </pic:pic>
              </a:graphicData>
            </a:graphic>
          </wp:inline>
        </w:drawing>
      </w:r>
    </w:p>
    <w:p w:rsidR="00E12E2B" w:rsidRPr="00E53ADE" w:rsidRDefault="007C4690">
      <w:pPr>
        <w:pStyle w:val="Standard"/>
        <w:rPr>
          <w:rFonts w:ascii="Segoe UI" w:hAnsi="Segoe UI" w:cs="Segoe UI"/>
        </w:rPr>
      </w:pPr>
      <w:r w:rsidRPr="00E53ADE">
        <w:rPr>
          <w:rFonts w:ascii="Segoe UI" w:eastAsia="Calibri" w:hAnsi="Segoe UI" w:cs="Segoe UI"/>
        </w:rPr>
        <w:t>Ukázka přípravy vzorků dřeva pro analýzy izotopů z letokruhů dubu letního (</w:t>
      </w:r>
      <w:r w:rsidRPr="00E53ADE">
        <w:rPr>
          <w:rFonts w:ascii="Segoe UI" w:eastAsia="Calibri" w:hAnsi="Segoe UI" w:cs="Segoe UI"/>
          <w:b/>
        </w:rPr>
        <w:t>A</w:t>
      </w:r>
      <w:r w:rsidRPr="00E53ADE">
        <w:rPr>
          <w:rFonts w:ascii="Segoe UI" w:eastAsia="Calibri" w:hAnsi="Segoe UI" w:cs="Segoe UI"/>
        </w:rPr>
        <w:t>) a dubu zimního (</w:t>
      </w:r>
      <w:r w:rsidRPr="00E53ADE">
        <w:rPr>
          <w:rFonts w:ascii="Segoe UI" w:eastAsia="Calibri" w:hAnsi="Segoe UI" w:cs="Segoe UI"/>
          <w:b/>
        </w:rPr>
        <w:t>B</w:t>
      </w:r>
      <w:r w:rsidRPr="00E53ADE">
        <w:rPr>
          <w:rFonts w:ascii="Segoe UI" w:eastAsia="Calibri" w:hAnsi="Segoe UI" w:cs="Segoe UI"/>
        </w:rPr>
        <w:t>). Příklad separace tzv. letního dřeva z jednotlivých letokruhů (</w:t>
      </w:r>
      <w:r w:rsidRPr="00E53ADE">
        <w:rPr>
          <w:rFonts w:ascii="Segoe UI" w:eastAsia="Calibri" w:hAnsi="Segoe UI" w:cs="Segoe UI"/>
          <w:b/>
        </w:rPr>
        <w:t>C–D</w:t>
      </w:r>
      <w:r w:rsidRPr="00E53ADE">
        <w:rPr>
          <w:rFonts w:ascii="Segoe UI" w:eastAsia="Calibri" w:hAnsi="Segoe UI" w:cs="Segoe UI"/>
        </w:rPr>
        <w:t>), a extrakce a plnění alfa-celulózy do připravených zkumavek (</w:t>
      </w:r>
      <w:r w:rsidRPr="00E53ADE">
        <w:rPr>
          <w:rFonts w:ascii="Segoe UI" w:eastAsia="Calibri" w:hAnsi="Segoe UI" w:cs="Segoe UI"/>
          <w:b/>
        </w:rPr>
        <w:t>E–F</w:t>
      </w:r>
      <w:r w:rsidRPr="00E53ADE">
        <w:rPr>
          <w:rFonts w:ascii="Segoe UI" w:eastAsia="Calibri" w:hAnsi="Segoe UI" w:cs="Segoe UI"/>
        </w:rPr>
        <w:t>) pro určení hodnot stabilních izotopů</w:t>
      </w:r>
      <w:r w:rsidRPr="00E53ADE">
        <w:rPr>
          <w:rFonts w:ascii="Segoe UI" w:hAnsi="Segoe UI" w:cs="Segoe UI"/>
          <w:lang w:val="en-US"/>
        </w:rPr>
        <w:t xml:space="preserve"> δ</w:t>
      </w:r>
      <w:r w:rsidRPr="00E53ADE">
        <w:rPr>
          <w:rFonts w:ascii="Segoe UI" w:eastAsia="Calibri" w:hAnsi="Segoe UI" w:cs="Segoe UI"/>
          <w:vertAlign w:val="superscript"/>
        </w:rPr>
        <w:t>18</w:t>
      </w:r>
      <w:r w:rsidRPr="00E53ADE">
        <w:rPr>
          <w:rFonts w:ascii="Segoe UI" w:eastAsia="Calibri" w:hAnsi="Segoe UI" w:cs="Segoe UI"/>
        </w:rPr>
        <w:t xml:space="preserve">O and </w:t>
      </w:r>
      <w:r w:rsidRPr="00E53ADE">
        <w:rPr>
          <w:rFonts w:ascii="Segoe UI" w:hAnsi="Segoe UI" w:cs="Segoe UI"/>
          <w:lang w:val="en-US"/>
        </w:rPr>
        <w:t>δ</w:t>
      </w:r>
      <w:r w:rsidRPr="00E53ADE">
        <w:rPr>
          <w:rFonts w:ascii="Segoe UI" w:eastAsia="Calibri" w:hAnsi="Segoe UI" w:cs="Segoe UI"/>
          <w:vertAlign w:val="superscript"/>
        </w:rPr>
        <w:t>13</w:t>
      </w:r>
      <w:r w:rsidRPr="00E53ADE">
        <w:rPr>
          <w:rFonts w:ascii="Segoe UI" w:eastAsia="Calibri" w:hAnsi="Segoe UI" w:cs="Segoe UI"/>
        </w:rPr>
        <w:t xml:space="preserve">C. Šedé obdélníky na obr </w:t>
      </w:r>
      <w:r w:rsidRPr="00E53ADE">
        <w:rPr>
          <w:rFonts w:ascii="Segoe UI" w:eastAsia="Calibri" w:hAnsi="Segoe UI" w:cs="Segoe UI"/>
          <w:b/>
        </w:rPr>
        <w:t xml:space="preserve">A-B </w:t>
      </w:r>
      <w:r w:rsidRPr="00E53ADE">
        <w:rPr>
          <w:rFonts w:ascii="Segoe UI" w:eastAsia="Calibri" w:hAnsi="Segoe UI" w:cs="Segoe UI"/>
        </w:rPr>
        <w:t>označují části letokruhů použité pro analýzu izotopů z širších a užších letokruhů. Šipky naznačují šířky jarního dřeva (EW), letního (LW) dřeva a celého letokruhu (TRW). Podrobnosti jsou uvedeny v práci Urban O, A</w:t>
      </w:r>
      <w:r w:rsidR="00C9612B" w:rsidRPr="00E53ADE">
        <w:rPr>
          <w:rFonts w:ascii="Segoe UI" w:eastAsia="Calibri" w:hAnsi="Segoe UI" w:cs="Segoe UI"/>
        </w:rPr>
        <w:t>č</w:t>
      </w:r>
      <w:r w:rsidRPr="00E53ADE">
        <w:rPr>
          <w:rFonts w:ascii="Segoe UI" w:eastAsia="Calibri" w:hAnsi="Segoe UI" w:cs="Segoe UI"/>
        </w:rPr>
        <w:t xml:space="preserve"> A, Kolář T, Rybn</w:t>
      </w:r>
      <w:r w:rsidR="00C9612B" w:rsidRPr="00E53ADE">
        <w:rPr>
          <w:rFonts w:ascii="Segoe UI" w:eastAsia="Calibri" w:hAnsi="Segoe UI" w:cs="Segoe UI"/>
        </w:rPr>
        <w:t>íček</w:t>
      </w:r>
      <w:r w:rsidRPr="00E53ADE">
        <w:rPr>
          <w:rFonts w:ascii="Segoe UI" w:eastAsia="Calibri" w:hAnsi="Segoe UI" w:cs="Segoe UI"/>
        </w:rPr>
        <w:t xml:space="preserve"> M, Pernicová N, </w:t>
      </w:r>
      <w:proofErr w:type="spellStart"/>
      <w:r w:rsidRPr="00E53ADE">
        <w:rPr>
          <w:rFonts w:ascii="Segoe UI" w:eastAsia="Calibri" w:hAnsi="Segoe UI" w:cs="Segoe UI"/>
        </w:rPr>
        <w:t>Koňasová</w:t>
      </w:r>
      <w:proofErr w:type="spellEnd"/>
      <w:r w:rsidRPr="00E53ADE">
        <w:rPr>
          <w:rFonts w:ascii="Segoe UI" w:eastAsia="Calibri" w:hAnsi="Segoe UI" w:cs="Segoe UI"/>
        </w:rPr>
        <w:t xml:space="preserve"> E, Trnka M, </w:t>
      </w:r>
      <w:proofErr w:type="spellStart"/>
      <w:r w:rsidRPr="00E53ADE">
        <w:rPr>
          <w:rFonts w:ascii="Segoe UI" w:eastAsia="Calibri" w:hAnsi="Segoe UI" w:cs="Segoe UI"/>
        </w:rPr>
        <w:t>Büntgen</w:t>
      </w:r>
      <w:proofErr w:type="spellEnd"/>
      <w:r w:rsidRPr="00E53ADE">
        <w:rPr>
          <w:rFonts w:ascii="Segoe UI" w:eastAsia="Calibri" w:hAnsi="Segoe UI" w:cs="Segoe UI"/>
        </w:rPr>
        <w:t xml:space="preserve"> U (2021) </w:t>
      </w:r>
      <w:proofErr w:type="spellStart"/>
      <w:r w:rsidRPr="00E53ADE">
        <w:rPr>
          <w:rFonts w:ascii="Segoe UI" w:eastAsia="Calibri" w:hAnsi="Segoe UI" w:cs="Segoe UI"/>
        </w:rPr>
        <w:t>The</w:t>
      </w:r>
      <w:proofErr w:type="spellEnd"/>
      <w:r w:rsidRPr="00E53ADE">
        <w:rPr>
          <w:rFonts w:ascii="Segoe UI" w:eastAsia="Calibri" w:hAnsi="Segoe UI" w:cs="Segoe UI"/>
        </w:rPr>
        <w:t xml:space="preserve"> </w:t>
      </w:r>
      <w:proofErr w:type="spellStart"/>
      <w:r w:rsidRPr="00E53ADE">
        <w:rPr>
          <w:rFonts w:ascii="Segoe UI" w:eastAsia="Calibri" w:hAnsi="Segoe UI" w:cs="Segoe UI"/>
        </w:rPr>
        <w:t>dendroclimatic</w:t>
      </w:r>
      <w:proofErr w:type="spellEnd"/>
      <w:r w:rsidRPr="00E53ADE">
        <w:rPr>
          <w:rFonts w:ascii="Segoe UI" w:eastAsia="Calibri" w:hAnsi="Segoe UI" w:cs="Segoe UI"/>
        </w:rPr>
        <w:t xml:space="preserve"> </w:t>
      </w:r>
      <w:proofErr w:type="spellStart"/>
      <w:r w:rsidRPr="00E53ADE">
        <w:rPr>
          <w:rFonts w:ascii="Segoe UI" w:eastAsia="Calibri" w:hAnsi="Segoe UI" w:cs="Segoe UI"/>
        </w:rPr>
        <w:t>value</w:t>
      </w:r>
      <w:proofErr w:type="spellEnd"/>
      <w:r w:rsidRPr="00E53ADE">
        <w:rPr>
          <w:rFonts w:ascii="Segoe UI" w:eastAsia="Calibri" w:hAnsi="Segoe UI" w:cs="Segoe UI"/>
        </w:rPr>
        <w:t xml:space="preserve"> </w:t>
      </w:r>
      <w:proofErr w:type="spellStart"/>
      <w:r w:rsidRPr="00E53ADE">
        <w:rPr>
          <w:rFonts w:ascii="Segoe UI" w:eastAsia="Calibri" w:hAnsi="Segoe UI" w:cs="Segoe UI"/>
        </w:rPr>
        <w:t>of</w:t>
      </w:r>
      <w:proofErr w:type="spellEnd"/>
      <w:r w:rsidRPr="00E53ADE">
        <w:rPr>
          <w:rFonts w:ascii="Segoe UI" w:eastAsia="Calibri" w:hAnsi="Segoe UI" w:cs="Segoe UI"/>
        </w:rPr>
        <w:t xml:space="preserve"> </w:t>
      </w:r>
      <w:proofErr w:type="spellStart"/>
      <w:r w:rsidRPr="00E53ADE">
        <w:rPr>
          <w:rFonts w:ascii="Segoe UI" w:eastAsia="Calibri" w:hAnsi="Segoe UI" w:cs="Segoe UI"/>
        </w:rPr>
        <w:t>oak</w:t>
      </w:r>
      <w:proofErr w:type="spellEnd"/>
      <w:r w:rsidRPr="00E53ADE">
        <w:rPr>
          <w:rFonts w:ascii="Segoe UI" w:eastAsia="Calibri" w:hAnsi="Segoe UI" w:cs="Segoe UI"/>
        </w:rPr>
        <w:t xml:space="preserve"> </w:t>
      </w:r>
      <w:proofErr w:type="spellStart"/>
      <w:r w:rsidRPr="00E53ADE">
        <w:rPr>
          <w:rFonts w:ascii="Segoe UI" w:eastAsia="Calibri" w:hAnsi="Segoe UI" w:cs="Segoe UI"/>
        </w:rPr>
        <w:t>stable</w:t>
      </w:r>
      <w:proofErr w:type="spellEnd"/>
      <w:r w:rsidRPr="00E53ADE">
        <w:rPr>
          <w:rFonts w:ascii="Segoe UI" w:eastAsia="Calibri" w:hAnsi="Segoe UI" w:cs="Segoe UI"/>
        </w:rPr>
        <w:t xml:space="preserve"> </w:t>
      </w:r>
      <w:proofErr w:type="spellStart"/>
      <w:r w:rsidRPr="00E53ADE">
        <w:rPr>
          <w:rFonts w:ascii="Segoe UI" w:eastAsia="Calibri" w:hAnsi="Segoe UI" w:cs="Segoe UI"/>
        </w:rPr>
        <w:t>isotopes</w:t>
      </w:r>
      <w:proofErr w:type="spellEnd"/>
      <w:r w:rsidRPr="00E53ADE">
        <w:rPr>
          <w:rFonts w:ascii="Segoe UI" w:eastAsia="Calibri" w:hAnsi="Segoe UI" w:cs="Segoe UI"/>
        </w:rPr>
        <w:t xml:space="preserve">. </w:t>
      </w:r>
      <w:proofErr w:type="spellStart"/>
      <w:r w:rsidRPr="00E53ADE">
        <w:rPr>
          <w:rFonts w:ascii="Segoe UI" w:eastAsia="Calibri" w:hAnsi="Segoe UI" w:cs="Segoe UI"/>
        </w:rPr>
        <w:t>Dendrochronologia</w:t>
      </w:r>
      <w:proofErr w:type="spellEnd"/>
      <w:r w:rsidRPr="00E53ADE">
        <w:rPr>
          <w:rFonts w:ascii="Segoe UI" w:eastAsia="Calibri" w:hAnsi="Segoe UI" w:cs="Segoe UI"/>
        </w:rPr>
        <w:t xml:space="preserve"> 65: 125804.</w:t>
      </w:r>
    </w:p>
    <w:p w:rsidR="00E12E2B" w:rsidRPr="00E53ADE" w:rsidRDefault="00E12E2B">
      <w:pPr>
        <w:pStyle w:val="Standard"/>
        <w:rPr>
          <w:rFonts w:ascii="Segoe UI" w:hAnsi="Segoe UI" w:cs="Segoe UI"/>
        </w:rPr>
      </w:pPr>
    </w:p>
    <w:p w:rsidR="00E12E2B" w:rsidRDefault="00E12E2B">
      <w:pPr>
        <w:pStyle w:val="Standard"/>
      </w:pPr>
    </w:p>
    <w:p w:rsidR="00E12E2B" w:rsidRDefault="00E12E2B">
      <w:pPr>
        <w:pStyle w:val="Standard"/>
      </w:pPr>
    </w:p>
    <w:p w:rsidR="00E12E2B" w:rsidRDefault="00E12E2B">
      <w:pPr>
        <w:pStyle w:val="Standard"/>
      </w:pPr>
    </w:p>
    <w:p w:rsidR="00E12E2B" w:rsidRDefault="00E12E2B">
      <w:pPr>
        <w:pStyle w:val="Standard"/>
      </w:pPr>
    </w:p>
    <w:p w:rsidR="00E12E2B" w:rsidRDefault="00E12E2B">
      <w:pPr>
        <w:pStyle w:val="Standard"/>
      </w:pPr>
    </w:p>
    <w:p w:rsidR="00E53ADE" w:rsidRDefault="00E53ADE">
      <w:pPr>
        <w:pStyle w:val="Standard"/>
      </w:pPr>
    </w:p>
    <w:p w:rsidR="00E12E2B" w:rsidRDefault="007C4690">
      <w:pPr>
        <w:pStyle w:val="Standard"/>
      </w:pPr>
      <w:r>
        <w:rPr>
          <w:noProof/>
          <w:lang w:eastAsia="cs-CZ"/>
        </w:rPr>
        <w:drawing>
          <wp:inline distT="0" distB="0" distL="0" distR="0">
            <wp:extent cx="5695200" cy="1945800"/>
            <wp:effectExtent l="0" t="0" r="750" b="0"/>
            <wp:docPr id="12" name="Obrázek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5695200" cy="1945800"/>
                    </a:xfrm>
                    <a:prstGeom prst="rect">
                      <a:avLst/>
                    </a:prstGeom>
                    <a:ln>
                      <a:noFill/>
                      <a:prstDash/>
                    </a:ln>
                  </pic:spPr>
                </pic:pic>
              </a:graphicData>
            </a:graphic>
          </wp:inline>
        </w:drawing>
      </w:r>
    </w:p>
    <w:p w:rsidR="00FF57C2" w:rsidRDefault="00FF57C2">
      <w:pPr>
        <w:pStyle w:val="Standard"/>
        <w:spacing w:after="0" w:line="240" w:lineRule="auto"/>
        <w:rPr>
          <w:rFonts w:ascii="Segoe UI" w:hAnsi="Segoe UI" w:cs="Segoe UI"/>
        </w:rPr>
      </w:pPr>
    </w:p>
    <w:p w:rsidR="00E12E2B" w:rsidRPr="00E53ADE" w:rsidRDefault="007C4690">
      <w:pPr>
        <w:pStyle w:val="Standard"/>
        <w:spacing w:after="0" w:line="240" w:lineRule="auto"/>
        <w:rPr>
          <w:rFonts w:ascii="Segoe UI" w:hAnsi="Segoe UI" w:cs="Segoe UI"/>
        </w:rPr>
      </w:pPr>
      <w:r w:rsidRPr="00E53ADE">
        <w:rPr>
          <w:rFonts w:ascii="Segoe UI" w:hAnsi="Segoe UI" w:cs="Segoe UI"/>
        </w:rPr>
        <w:t xml:space="preserve">Schéma zachycující hodnoty šířek letokruhů (TRW) ze vzorku dubu a hodnoty stabilních izotopů </w:t>
      </w:r>
      <w:r w:rsidRPr="00E53ADE">
        <w:rPr>
          <w:rFonts w:ascii="Segoe UI" w:hAnsi="Segoe UI" w:cs="Segoe UI"/>
          <w:lang w:val="en-US"/>
        </w:rPr>
        <w:t>δ</w:t>
      </w:r>
      <w:r w:rsidRPr="00E53ADE">
        <w:rPr>
          <w:rFonts w:ascii="Segoe UI" w:eastAsia="Calibri" w:hAnsi="Segoe UI" w:cs="Segoe UI"/>
          <w:vertAlign w:val="superscript"/>
        </w:rPr>
        <w:t>18</w:t>
      </w:r>
      <w:r w:rsidRPr="00E53ADE">
        <w:rPr>
          <w:rFonts w:ascii="Segoe UI" w:eastAsia="Calibri" w:hAnsi="Segoe UI" w:cs="Segoe UI"/>
        </w:rPr>
        <w:t xml:space="preserve">O and </w:t>
      </w:r>
      <w:r w:rsidRPr="00E53ADE">
        <w:rPr>
          <w:rFonts w:ascii="Segoe UI" w:hAnsi="Segoe UI" w:cs="Segoe UI"/>
          <w:lang w:val="en-US"/>
        </w:rPr>
        <w:t>δ</w:t>
      </w:r>
      <w:r w:rsidRPr="00E53ADE">
        <w:rPr>
          <w:rFonts w:ascii="Segoe UI" w:eastAsia="Calibri" w:hAnsi="Segoe UI" w:cs="Segoe UI"/>
          <w:vertAlign w:val="superscript"/>
        </w:rPr>
        <w:t>13</w:t>
      </w:r>
      <w:r w:rsidRPr="00E53ADE">
        <w:rPr>
          <w:rFonts w:ascii="Segoe UI" w:eastAsia="Calibri" w:hAnsi="Segoe UI" w:cs="Segoe UI"/>
        </w:rPr>
        <w:t>C.</w:t>
      </w:r>
      <w:r w:rsidRPr="00E53ADE">
        <w:rPr>
          <w:rFonts w:ascii="Segoe UI" w:hAnsi="Segoe UI" w:cs="Segoe UI"/>
        </w:rPr>
        <w:t xml:space="preserve"> Vyleštěný průřez kmenem dubu z České republiky s barevnými čarami označujícími příklady míst, v nichž se měří šířka letokruhů (zelená) a odebírají vzorky pro stanovení stabilních izotopů (červená / modrá). Zvětšený výřez ukazuje anatomickou strukturu </w:t>
      </w:r>
      <w:proofErr w:type="spellStart"/>
      <w:r w:rsidRPr="00E53ADE">
        <w:rPr>
          <w:rFonts w:ascii="Segoe UI" w:hAnsi="Segoe UI" w:cs="Segoe UI"/>
        </w:rPr>
        <w:t>makrocév</w:t>
      </w:r>
      <w:proofErr w:type="spellEnd"/>
      <w:r w:rsidRPr="00E53ADE">
        <w:rPr>
          <w:rFonts w:ascii="Segoe UI" w:hAnsi="Segoe UI" w:cs="Segoe UI"/>
        </w:rPr>
        <w:t xml:space="preserve"> jarního dřeva a homogenních vláken letního dřeva. Zelené čáry označují šířku jednoho úplného dubového letokruhu, zatímco modré a červené čáry označují pouze šířku letního dřeva. Prostřední část náčrtu je příkladem chování surového měření šířky letokruhu (TRW) a obsahu izotopů (TRSI) z jednoho ze 147 vzorků českých dubů (Kyl38) v nichž byla v naší studii měřena koncentrace stabilních izotopů. Mapy porovnávají schopnost dat odvozených z šířky letokruhů (TRW) odhadnout hodnoty letního sucha a to při využití řady 861 českých dubů oproti schopnosti kombinace hodnot stabilních izotopů δ</w:t>
      </w:r>
      <w:r w:rsidRPr="00E53ADE">
        <w:rPr>
          <w:rFonts w:ascii="Segoe UI" w:hAnsi="Segoe UI" w:cs="Segoe UI"/>
          <w:vertAlign w:val="superscript"/>
        </w:rPr>
        <w:t>18</w:t>
      </w:r>
      <w:r w:rsidRPr="00E53ADE">
        <w:rPr>
          <w:rFonts w:ascii="Segoe UI" w:hAnsi="Segoe UI" w:cs="Segoe UI"/>
        </w:rPr>
        <w:t>O a δ</w:t>
      </w:r>
      <w:r w:rsidRPr="00E53ADE">
        <w:rPr>
          <w:rFonts w:ascii="Segoe UI" w:hAnsi="Segoe UI" w:cs="Segoe UI"/>
          <w:vertAlign w:val="superscript"/>
        </w:rPr>
        <w:t>13</w:t>
      </w:r>
      <w:r w:rsidRPr="00E53ADE">
        <w:rPr>
          <w:rFonts w:ascii="Segoe UI" w:hAnsi="Segoe UI" w:cs="Segoe UI"/>
        </w:rPr>
        <w:t>C z výběru pouze šesti dubů. Mapa vpravo dole dokumentuje i přibližný prostorový dosah studie.</w:t>
      </w:r>
    </w:p>
    <w:p w:rsidR="00E12E2B" w:rsidRPr="00E53ADE" w:rsidRDefault="007C4690">
      <w:pPr>
        <w:pStyle w:val="Standard"/>
        <w:rPr>
          <w:rFonts w:ascii="Segoe UI" w:hAnsi="Segoe UI" w:cs="Segoe UI"/>
        </w:rPr>
      </w:pPr>
      <w:r w:rsidRPr="00E53ADE">
        <w:rPr>
          <w:rFonts w:ascii="Segoe UI" w:hAnsi="Segoe UI" w:cs="Segoe UI"/>
        </w:rPr>
        <w:t xml:space="preserve">Další detaily jsou k dispozici ve studii Büntgen U, Kolář T, Rybníček M, </w:t>
      </w:r>
      <w:proofErr w:type="spellStart"/>
      <w:r w:rsidRPr="00E53ADE">
        <w:rPr>
          <w:rFonts w:ascii="Segoe UI" w:hAnsi="Segoe UI" w:cs="Segoe UI"/>
        </w:rPr>
        <w:t>Koňasová</w:t>
      </w:r>
      <w:proofErr w:type="spellEnd"/>
      <w:r w:rsidRPr="00E53ADE">
        <w:rPr>
          <w:rFonts w:ascii="Segoe UI" w:hAnsi="Segoe UI" w:cs="Segoe UI"/>
        </w:rPr>
        <w:t xml:space="preserve"> E, Trnka M, Ač A, </w:t>
      </w:r>
      <w:proofErr w:type="spellStart"/>
      <w:r w:rsidRPr="00E53ADE">
        <w:rPr>
          <w:rFonts w:ascii="Segoe UI" w:hAnsi="Segoe UI" w:cs="Segoe UI"/>
        </w:rPr>
        <w:t>Krusic</w:t>
      </w:r>
      <w:proofErr w:type="spellEnd"/>
      <w:r w:rsidRPr="00E53ADE">
        <w:rPr>
          <w:rFonts w:ascii="Segoe UI" w:hAnsi="Segoe UI" w:cs="Segoe UI"/>
        </w:rPr>
        <w:t xml:space="preserve"> PJ, </w:t>
      </w:r>
      <w:proofErr w:type="spellStart"/>
      <w:r w:rsidRPr="00E53ADE">
        <w:rPr>
          <w:rFonts w:ascii="Segoe UI" w:hAnsi="Segoe UI" w:cs="Segoe UI"/>
        </w:rPr>
        <w:t>Esper</w:t>
      </w:r>
      <w:proofErr w:type="spellEnd"/>
      <w:r w:rsidRPr="00E53ADE">
        <w:rPr>
          <w:rFonts w:ascii="Segoe UI" w:hAnsi="Segoe UI" w:cs="Segoe UI"/>
        </w:rPr>
        <w:t xml:space="preserve"> J, </w:t>
      </w:r>
      <w:proofErr w:type="spellStart"/>
      <w:r w:rsidRPr="00E53ADE">
        <w:rPr>
          <w:rFonts w:ascii="Segoe UI" w:hAnsi="Segoe UI" w:cs="Segoe UI"/>
        </w:rPr>
        <w:t>Treydte</w:t>
      </w:r>
      <w:proofErr w:type="spellEnd"/>
      <w:r w:rsidRPr="00E53ADE">
        <w:rPr>
          <w:rFonts w:ascii="Segoe UI" w:hAnsi="Segoe UI" w:cs="Segoe UI"/>
        </w:rPr>
        <w:t xml:space="preserve"> K, </w:t>
      </w:r>
      <w:proofErr w:type="spellStart"/>
      <w:r w:rsidRPr="00E53ADE">
        <w:rPr>
          <w:rFonts w:ascii="Segoe UI" w:hAnsi="Segoe UI" w:cs="Segoe UI"/>
        </w:rPr>
        <w:t>Reinig</w:t>
      </w:r>
      <w:proofErr w:type="spellEnd"/>
      <w:r w:rsidRPr="00E53ADE">
        <w:rPr>
          <w:rFonts w:ascii="Segoe UI" w:hAnsi="Segoe UI" w:cs="Segoe UI"/>
        </w:rPr>
        <w:t xml:space="preserve"> F, </w:t>
      </w:r>
      <w:proofErr w:type="spellStart"/>
      <w:r w:rsidRPr="00E53ADE">
        <w:rPr>
          <w:rFonts w:ascii="Segoe UI" w:hAnsi="Segoe UI" w:cs="Segoe UI"/>
        </w:rPr>
        <w:t>Kirdyanov</w:t>
      </w:r>
      <w:proofErr w:type="spellEnd"/>
      <w:r w:rsidRPr="00E53ADE">
        <w:rPr>
          <w:rFonts w:ascii="Segoe UI" w:hAnsi="Segoe UI" w:cs="Segoe UI"/>
        </w:rPr>
        <w:t xml:space="preserve"> A, </w:t>
      </w:r>
      <w:proofErr w:type="spellStart"/>
      <w:r w:rsidRPr="00E53ADE">
        <w:rPr>
          <w:rFonts w:ascii="Segoe UI" w:hAnsi="Segoe UI" w:cs="Segoe UI"/>
        </w:rPr>
        <w:t>Herzig</w:t>
      </w:r>
      <w:proofErr w:type="spellEnd"/>
      <w:r w:rsidRPr="00E53ADE">
        <w:rPr>
          <w:rFonts w:ascii="Segoe UI" w:hAnsi="Segoe UI" w:cs="Segoe UI"/>
        </w:rPr>
        <w:t xml:space="preserve"> F, Urban O (2020) No </w:t>
      </w:r>
      <w:proofErr w:type="spellStart"/>
      <w:r w:rsidRPr="00E53ADE">
        <w:rPr>
          <w:rFonts w:ascii="Segoe UI" w:hAnsi="Segoe UI" w:cs="Segoe UI"/>
        </w:rPr>
        <w:t>age</w:t>
      </w:r>
      <w:proofErr w:type="spellEnd"/>
      <w:r w:rsidRPr="00E53ADE">
        <w:rPr>
          <w:rFonts w:ascii="Segoe UI" w:hAnsi="Segoe UI" w:cs="Segoe UI"/>
        </w:rPr>
        <w:t xml:space="preserve"> </w:t>
      </w:r>
      <w:proofErr w:type="spellStart"/>
      <w:r w:rsidRPr="00E53ADE">
        <w:rPr>
          <w:rFonts w:ascii="Segoe UI" w:hAnsi="Segoe UI" w:cs="Segoe UI"/>
        </w:rPr>
        <w:t>trends</w:t>
      </w:r>
      <w:proofErr w:type="spellEnd"/>
      <w:r w:rsidRPr="00E53ADE">
        <w:rPr>
          <w:rFonts w:ascii="Segoe UI" w:hAnsi="Segoe UI" w:cs="Segoe UI"/>
        </w:rPr>
        <w:t xml:space="preserve"> in </w:t>
      </w:r>
      <w:proofErr w:type="spellStart"/>
      <w:r w:rsidRPr="00E53ADE">
        <w:rPr>
          <w:rFonts w:ascii="Segoe UI" w:hAnsi="Segoe UI" w:cs="Segoe UI"/>
        </w:rPr>
        <w:t>oak</w:t>
      </w:r>
      <w:proofErr w:type="spellEnd"/>
      <w:r w:rsidRPr="00E53ADE">
        <w:rPr>
          <w:rFonts w:ascii="Segoe UI" w:hAnsi="Segoe UI" w:cs="Segoe UI"/>
        </w:rPr>
        <w:t xml:space="preserve"> </w:t>
      </w:r>
      <w:proofErr w:type="spellStart"/>
      <w:r w:rsidRPr="00E53ADE">
        <w:rPr>
          <w:rFonts w:ascii="Segoe UI" w:hAnsi="Segoe UI" w:cs="Segoe UI"/>
        </w:rPr>
        <w:t>stable</w:t>
      </w:r>
      <w:proofErr w:type="spellEnd"/>
      <w:r w:rsidRPr="00E53ADE">
        <w:rPr>
          <w:rFonts w:ascii="Segoe UI" w:hAnsi="Segoe UI" w:cs="Segoe UI"/>
        </w:rPr>
        <w:t xml:space="preserve"> </w:t>
      </w:r>
      <w:proofErr w:type="spellStart"/>
      <w:r w:rsidRPr="00E53ADE">
        <w:rPr>
          <w:rFonts w:ascii="Segoe UI" w:hAnsi="Segoe UI" w:cs="Segoe UI"/>
        </w:rPr>
        <w:t>isotopes</w:t>
      </w:r>
      <w:proofErr w:type="spellEnd"/>
      <w:r w:rsidRPr="00E53ADE">
        <w:rPr>
          <w:rFonts w:ascii="Segoe UI" w:hAnsi="Segoe UI" w:cs="Segoe UI"/>
        </w:rPr>
        <w:t xml:space="preserve">. </w:t>
      </w:r>
      <w:proofErr w:type="spellStart"/>
      <w:r w:rsidRPr="00E53ADE">
        <w:rPr>
          <w:rFonts w:ascii="Segoe UI" w:hAnsi="Segoe UI" w:cs="Segoe UI"/>
        </w:rPr>
        <w:t>Paleoceanography</w:t>
      </w:r>
      <w:proofErr w:type="spellEnd"/>
      <w:r w:rsidRPr="00E53ADE">
        <w:rPr>
          <w:rFonts w:ascii="Segoe UI" w:hAnsi="Segoe UI" w:cs="Segoe UI"/>
        </w:rPr>
        <w:t xml:space="preserve"> and </w:t>
      </w:r>
      <w:proofErr w:type="spellStart"/>
      <w:r w:rsidRPr="00E53ADE">
        <w:rPr>
          <w:rFonts w:ascii="Segoe UI" w:hAnsi="Segoe UI" w:cs="Segoe UI"/>
        </w:rPr>
        <w:t>Palaeoclimatology</w:t>
      </w:r>
      <w:proofErr w:type="spellEnd"/>
      <w:r w:rsidRPr="00E53ADE">
        <w:rPr>
          <w:rFonts w:ascii="Segoe UI" w:hAnsi="Segoe UI" w:cs="Segoe UI"/>
        </w:rPr>
        <w:t xml:space="preserve"> 34: 10.1029/2019PA003831.</w:t>
      </w:r>
    </w:p>
    <w:p w:rsidR="00E12E2B" w:rsidRDefault="00E12E2B">
      <w:pPr>
        <w:pStyle w:val="Standard"/>
      </w:pPr>
    </w:p>
    <w:p w:rsidR="00E12E2B" w:rsidRDefault="00E12E2B">
      <w:pPr>
        <w:pStyle w:val="Standard"/>
      </w:pPr>
    </w:p>
    <w:p w:rsidR="00E12E2B" w:rsidRDefault="00E12E2B">
      <w:pPr>
        <w:pStyle w:val="Standard"/>
      </w:pPr>
    </w:p>
    <w:p w:rsidR="00E12E2B" w:rsidRDefault="00E12E2B">
      <w:pPr>
        <w:pStyle w:val="Standard"/>
      </w:pPr>
    </w:p>
    <w:p w:rsidR="00E12E2B" w:rsidRDefault="00E12E2B">
      <w:pPr>
        <w:pStyle w:val="Standard"/>
      </w:pPr>
    </w:p>
    <w:p w:rsidR="00E53ADE" w:rsidRDefault="007C4690">
      <w:pPr>
        <w:pStyle w:val="Standard"/>
        <w:rPr>
          <w:noProof/>
          <w:lang w:eastAsia="cs-CZ"/>
        </w:rPr>
      </w:pPr>
      <w:r>
        <w:t xml:space="preserve"> </w:t>
      </w:r>
    </w:p>
    <w:p w:rsidR="00E12E2B" w:rsidRDefault="00E12E2B">
      <w:pPr>
        <w:pStyle w:val="Standard"/>
      </w:pPr>
    </w:p>
    <w:p w:rsidR="00FF57C2" w:rsidRDefault="00FF57C2">
      <w:pPr>
        <w:pStyle w:val="Standard"/>
        <w:rPr>
          <w:rFonts w:ascii="Segoe UI" w:hAnsi="Segoe UI" w:cs="Segoe UI"/>
        </w:rPr>
      </w:pPr>
      <w:r>
        <w:rPr>
          <w:noProof/>
          <w:lang w:eastAsia="cs-CZ"/>
        </w:rPr>
        <w:drawing>
          <wp:anchor distT="0" distB="0" distL="114300" distR="114300" simplePos="0" relativeHeight="251659264" behindDoc="0" locked="0" layoutInCell="1" allowOverlap="1" wp14:anchorId="51573503" wp14:editId="19999161">
            <wp:simplePos x="0" y="0"/>
            <wp:positionH relativeFrom="margin">
              <wp:posOffset>63500</wp:posOffset>
            </wp:positionH>
            <wp:positionV relativeFrom="margin">
              <wp:posOffset>810895</wp:posOffset>
            </wp:positionV>
            <wp:extent cx="5760720" cy="2787480"/>
            <wp:effectExtent l="0" t="0" r="0" b="0"/>
            <wp:wrapSquare wrapText="bothSides"/>
            <wp:docPr id="13" name="Obrázek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extLst>
                        <a:ext uri="{28A0092B-C50C-407E-A947-70E740481C1C}">
                          <a14:useLocalDpi xmlns:a14="http://schemas.microsoft.com/office/drawing/2010/main" val="0"/>
                        </a:ext>
                      </a:extLst>
                    </a:blip>
                    <a:srcRect/>
                    <a:stretch>
                      <a:fillRect/>
                    </a:stretch>
                  </pic:blipFill>
                  <pic:spPr>
                    <a:xfrm>
                      <a:off x="0" y="0"/>
                      <a:ext cx="5760720" cy="2787480"/>
                    </a:xfrm>
                    <a:prstGeom prst="rect">
                      <a:avLst/>
                    </a:prstGeom>
                    <a:ln>
                      <a:noFill/>
                      <a:prstDash/>
                    </a:ln>
                  </pic:spPr>
                </pic:pic>
              </a:graphicData>
            </a:graphic>
          </wp:anchor>
        </w:drawing>
      </w:r>
    </w:p>
    <w:p w:rsidR="00FF57C2" w:rsidRDefault="00FF57C2">
      <w:pPr>
        <w:pStyle w:val="Standard"/>
        <w:rPr>
          <w:rFonts w:ascii="Segoe UI" w:hAnsi="Segoe UI" w:cs="Segoe UI"/>
        </w:rPr>
      </w:pPr>
    </w:p>
    <w:p w:rsidR="00E12E2B" w:rsidRPr="00E53ADE" w:rsidRDefault="007C4690">
      <w:pPr>
        <w:pStyle w:val="Standard"/>
        <w:rPr>
          <w:rFonts w:ascii="Segoe UI" w:hAnsi="Segoe UI" w:cs="Segoe UI"/>
        </w:rPr>
      </w:pPr>
      <w:r w:rsidRPr="00E53ADE">
        <w:rPr>
          <w:rFonts w:ascii="Segoe UI" w:hAnsi="Segoe UI" w:cs="Segoe UI"/>
        </w:rPr>
        <w:t xml:space="preserve">Zjednodušený pohled na vývoj tzv. </w:t>
      </w:r>
      <w:proofErr w:type="spellStart"/>
      <w:r w:rsidRPr="00E53ADE">
        <w:rPr>
          <w:rFonts w:ascii="Segoe UI" w:hAnsi="Segoe UI" w:cs="Segoe UI"/>
        </w:rPr>
        <w:t>Palmerova</w:t>
      </w:r>
      <w:proofErr w:type="spellEnd"/>
      <w:r w:rsidRPr="00E53ADE">
        <w:rPr>
          <w:rFonts w:ascii="Segoe UI" w:hAnsi="Segoe UI" w:cs="Segoe UI"/>
        </w:rPr>
        <w:t xml:space="preserve"> indexu</w:t>
      </w:r>
      <w:r w:rsidR="00C9612B" w:rsidRPr="00E53ADE">
        <w:rPr>
          <w:rFonts w:ascii="Segoe UI" w:hAnsi="Segoe UI" w:cs="Segoe UI"/>
        </w:rPr>
        <w:t xml:space="preserve"> </w:t>
      </w:r>
      <w:r w:rsidRPr="00E53ADE">
        <w:rPr>
          <w:rFonts w:ascii="Segoe UI" w:hAnsi="Segoe UI" w:cs="Segoe UI"/>
        </w:rPr>
        <w:t>sucha</w:t>
      </w:r>
      <w:r w:rsidR="00C9612B" w:rsidRPr="00E53ADE">
        <w:rPr>
          <w:rFonts w:ascii="Segoe UI" w:hAnsi="Segoe UI" w:cs="Segoe UI"/>
        </w:rPr>
        <w:t xml:space="preserve"> (PDSI)</w:t>
      </w:r>
      <w:r w:rsidRPr="00E53ADE">
        <w:rPr>
          <w:rFonts w:ascii="Segoe UI" w:hAnsi="Segoe UI" w:cs="Segoe UI"/>
        </w:rPr>
        <w:t xml:space="preserve"> v letním období na území střední Evropy, který ukazuje rekonstrukci variability sucha (zejména tzv. zemědělského) za období posledních 2110 let. Rekonstrukce zachycuje období 91 př.n.l. až 2018 n.l. Červená linie představuje výrazně shlazený průběh hodnot a šipky naznačují hodnoty pro sucho v období 2015-2018. Černá linie představuje vysoce významný trend dlouhodobého vysychání krajiny (y = −0,0012x + 2,4561, R</w:t>
      </w:r>
      <w:r w:rsidRPr="00E53ADE">
        <w:rPr>
          <w:rFonts w:ascii="Segoe UI" w:hAnsi="Segoe UI" w:cs="Segoe UI"/>
          <w:vertAlign w:val="superscript"/>
        </w:rPr>
        <w:t>2</w:t>
      </w:r>
      <w:r w:rsidRPr="00E53ADE">
        <w:rPr>
          <w:rFonts w:ascii="Segoe UI" w:hAnsi="Segoe UI" w:cs="Segoe UI"/>
        </w:rPr>
        <w:t xml:space="preserve"> = 0,1281).</w:t>
      </w:r>
    </w:p>
    <w:p w:rsidR="00E12E2B" w:rsidRDefault="00E12E2B">
      <w:pPr>
        <w:pStyle w:val="Standard"/>
      </w:pPr>
    </w:p>
    <w:p w:rsidR="009C30EC" w:rsidRDefault="009C30EC">
      <w:pPr>
        <w:pStyle w:val="Standard"/>
      </w:pPr>
    </w:p>
    <w:p w:rsidR="00E12E2B" w:rsidRDefault="00E12E2B">
      <w:pPr>
        <w:pStyle w:val="Standard"/>
      </w:pPr>
    </w:p>
    <w:p w:rsidR="00E12E2B" w:rsidRDefault="00E12E2B">
      <w:pPr>
        <w:pStyle w:val="Standard"/>
      </w:pPr>
    </w:p>
    <w:p w:rsidR="00E12E2B" w:rsidRDefault="00E12E2B">
      <w:pPr>
        <w:pStyle w:val="Standard"/>
      </w:pPr>
    </w:p>
    <w:p w:rsidR="00E12E2B" w:rsidRDefault="00E12E2B">
      <w:pPr>
        <w:pStyle w:val="Standard"/>
      </w:pPr>
    </w:p>
    <w:p w:rsidR="00E12E2B" w:rsidRDefault="00E12E2B">
      <w:pPr>
        <w:pStyle w:val="Standard"/>
      </w:pPr>
    </w:p>
    <w:p w:rsidR="00E12E2B" w:rsidRDefault="00E12E2B">
      <w:pPr>
        <w:pStyle w:val="Standard"/>
      </w:pPr>
    </w:p>
    <w:p w:rsidR="00E12E2B" w:rsidRDefault="00E12E2B">
      <w:pPr>
        <w:pStyle w:val="Standard"/>
      </w:pPr>
    </w:p>
    <w:p w:rsidR="00FF57C2" w:rsidRDefault="00FF57C2">
      <w:pPr>
        <w:pStyle w:val="Standard"/>
      </w:pPr>
    </w:p>
    <w:p w:rsidR="00E12E2B" w:rsidRPr="00FF57C2" w:rsidRDefault="007C4690">
      <w:pPr>
        <w:pStyle w:val="Standard"/>
        <w:rPr>
          <w:rFonts w:ascii="Segoe UI" w:hAnsi="Segoe UI" w:cs="Segoe UI"/>
        </w:rPr>
      </w:pPr>
      <w:r w:rsidRPr="00FF57C2">
        <w:rPr>
          <w:rFonts w:ascii="Segoe UI" w:hAnsi="Segoe UI" w:cs="Segoe UI"/>
        </w:rPr>
        <w:t xml:space="preserve">Tabulka 1:  Rekonstruované </w:t>
      </w:r>
      <w:proofErr w:type="spellStart"/>
      <w:r w:rsidRPr="00FF57C2">
        <w:rPr>
          <w:rFonts w:ascii="Segoe UI" w:hAnsi="Segoe UI" w:cs="Segoe UI"/>
        </w:rPr>
        <w:t>hydroklimatické</w:t>
      </w:r>
      <w:proofErr w:type="spellEnd"/>
      <w:r w:rsidRPr="00FF57C2">
        <w:rPr>
          <w:rFonts w:ascii="Segoe UI" w:hAnsi="Segoe UI" w:cs="Segoe UI"/>
        </w:rPr>
        <w:t xml:space="preserve"> extrémy a to 20 nejvyšších (tj. nejvlhčích) a nejnižších (tj. nejsušších) ročních hodnot pro letní měsíce (červen-srpen) pro </w:t>
      </w:r>
      <w:proofErr w:type="spellStart"/>
      <w:r w:rsidRPr="00FF57C2">
        <w:rPr>
          <w:rFonts w:ascii="Segoe UI" w:hAnsi="Segoe UI" w:cs="Segoe UI"/>
        </w:rPr>
        <w:t>Palmerův</w:t>
      </w:r>
      <w:proofErr w:type="spellEnd"/>
      <w:r w:rsidRPr="00FF57C2">
        <w:rPr>
          <w:rFonts w:ascii="Segoe UI" w:hAnsi="Segoe UI" w:cs="Segoe UI"/>
        </w:rPr>
        <w:t xml:space="preserve"> index (PDSI) rekonstruovaný v období 91 př. </w:t>
      </w:r>
      <w:proofErr w:type="gramStart"/>
      <w:r w:rsidRPr="00FF57C2">
        <w:rPr>
          <w:rFonts w:ascii="Segoe UI" w:hAnsi="Segoe UI" w:cs="Segoe UI"/>
        </w:rPr>
        <w:t>n.l.</w:t>
      </w:r>
      <w:proofErr w:type="gramEnd"/>
      <w:r w:rsidRPr="00FF57C2">
        <w:rPr>
          <w:rFonts w:ascii="Segoe UI" w:hAnsi="Segoe UI" w:cs="Segoe UI"/>
        </w:rPr>
        <w:t xml:space="preserve"> a  2018 (včetně roku nula). Rovněž jsou uvedena dvě nejvlhčí a nejsušší čtyřletá a pětiletá období. V případě víceletých epizod sucha označení např. rok 2018 značí období 2015–2018 resp. 2014–2018 v případě čtyř a pětileté kumulované hodnoty indexu sucha.</w:t>
      </w:r>
    </w:p>
    <w:p w:rsidR="00FF57C2" w:rsidRDefault="00FF57C2">
      <w:pPr>
        <w:pStyle w:val="Standard"/>
      </w:pPr>
    </w:p>
    <w:p w:rsidR="00E12E2B" w:rsidRDefault="007C4690">
      <w:pPr>
        <w:pStyle w:val="FigureCaption"/>
        <w:spacing w:line="480" w:lineRule="auto"/>
        <w:ind w:left="340" w:hanging="340"/>
        <w:jc w:val="center"/>
      </w:pPr>
      <w:r>
        <w:rPr>
          <w:noProof/>
          <w:lang w:val="cs-CZ" w:eastAsia="cs-CZ"/>
        </w:rPr>
        <w:drawing>
          <wp:inline distT="0" distB="0" distL="0" distR="0">
            <wp:extent cx="5943600" cy="4532040"/>
            <wp:effectExtent l="0" t="0" r="0" b="1860"/>
            <wp:docPr id="14" name="Obrázek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a:stretch>
                      <a:fillRect/>
                    </a:stretch>
                  </pic:blipFill>
                  <pic:spPr>
                    <a:xfrm>
                      <a:off x="0" y="0"/>
                      <a:ext cx="5943600" cy="4532040"/>
                    </a:xfrm>
                    <a:prstGeom prst="rect">
                      <a:avLst/>
                    </a:prstGeom>
                    <a:ln>
                      <a:noFill/>
                      <a:prstDash/>
                    </a:ln>
                  </pic:spPr>
                </pic:pic>
              </a:graphicData>
            </a:graphic>
          </wp:inline>
        </w:drawing>
      </w:r>
    </w:p>
    <w:p w:rsidR="00E12E2B" w:rsidRDefault="00E12E2B">
      <w:pPr>
        <w:pStyle w:val="Standard"/>
        <w:rPr>
          <w:b/>
        </w:rPr>
      </w:pPr>
    </w:p>
    <w:p w:rsidR="00E12E2B" w:rsidRDefault="00E12E2B">
      <w:pPr>
        <w:pStyle w:val="Standard"/>
        <w:rPr>
          <w:b/>
        </w:rPr>
      </w:pPr>
    </w:p>
    <w:p w:rsidR="00E12E2B" w:rsidRDefault="00E12E2B">
      <w:pPr>
        <w:pStyle w:val="Standard"/>
        <w:rPr>
          <w:b/>
        </w:rPr>
      </w:pPr>
    </w:p>
    <w:p w:rsidR="00E12E2B" w:rsidRDefault="00E12E2B">
      <w:pPr>
        <w:pStyle w:val="Standard"/>
        <w:rPr>
          <w:b/>
        </w:rPr>
      </w:pPr>
    </w:p>
    <w:p w:rsidR="00E12E2B" w:rsidRDefault="00E12E2B">
      <w:pPr>
        <w:pStyle w:val="Standard"/>
        <w:rPr>
          <w:b/>
        </w:rPr>
      </w:pPr>
    </w:p>
    <w:p w:rsidR="00E12E2B" w:rsidRDefault="00E12E2B">
      <w:pPr>
        <w:pStyle w:val="Standard"/>
        <w:rPr>
          <w:b/>
        </w:rPr>
      </w:pPr>
    </w:p>
    <w:p w:rsidR="00E12E2B" w:rsidRDefault="007C4690">
      <w:pPr>
        <w:pStyle w:val="Standard"/>
        <w:rPr>
          <w:b/>
        </w:rPr>
      </w:pPr>
      <w:r>
        <w:rPr>
          <w:b/>
        </w:rPr>
        <w:t>Ilustrační obrázky:</w:t>
      </w:r>
    </w:p>
    <w:p w:rsidR="00FF57C2" w:rsidRDefault="00FF57C2">
      <w:pPr>
        <w:pStyle w:val="Standard"/>
        <w:rPr>
          <w:b/>
        </w:rPr>
      </w:pPr>
    </w:p>
    <w:p w:rsidR="00FF57C2" w:rsidRDefault="00FF57C2">
      <w:pPr>
        <w:pStyle w:val="Standard"/>
      </w:pPr>
    </w:p>
    <w:p w:rsidR="00E12E2B" w:rsidRDefault="007C4690">
      <w:pPr>
        <w:pStyle w:val="Standard"/>
      </w:pPr>
      <w:r>
        <w:rPr>
          <w:noProof/>
          <w:lang w:eastAsia="cs-CZ"/>
        </w:rPr>
        <w:drawing>
          <wp:inline distT="0" distB="0" distL="0" distR="0">
            <wp:extent cx="5731560" cy="5170320"/>
            <wp:effectExtent l="0" t="0" r="2490" b="0"/>
            <wp:docPr id="15" name="Obrázek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5731560" cy="5170320"/>
                    </a:xfrm>
                    <a:prstGeom prst="rect">
                      <a:avLst/>
                    </a:prstGeom>
                    <a:ln>
                      <a:noFill/>
                      <a:prstDash/>
                    </a:ln>
                  </pic:spPr>
                </pic:pic>
              </a:graphicData>
            </a:graphic>
          </wp:inline>
        </w:drawing>
      </w:r>
    </w:p>
    <w:p w:rsidR="00E12E2B" w:rsidRDefault="00E12E2B">
      <w:pPr>
        <w:pStyle w:val="Standard"/>
      </w:pPr>
    </w:p>
    <w:p w:rsidR="00E12E2B" w:rsidRDefault="00E12E2B">
      <w:pPr>
        <w:pStyle w:val="Standard"/>
      </w:pPr>
    </w:p>
    <w:p w:rsidR="00E12E2B" w:rsidRDefault="00E12E2B">
      <w:pPr>
        <w:pStyle w:val="Standard"/>
      </w:pPr>
    </w:p>
    <w:p w:rsidR="00E12E2B" w:rsidRDefault="00E12E2B">
      <w:pPr>
        <w:pStyle w:val="Standard"/>
      </w:pPr>
    </w:p>
    <w:p w:rsidR="00E12E2B" w:rsidRDefault="00FF57C2">
      <w:pPr>
        <w:pStyle w:val="Standard"/>
      </w:pPr>
      <w:r>
        <w:rPr>
          <w:noProof/>
          <w:lang w:eastAsia="cs-CZ"/>
        </w:rPr>
        <w:lastRenderedPageBreak/>
        <w:drawing>
          <wp:anchor distT="0" distB="0" distL="114300" distR="114300" simplePos="0" relativeHeight="251658240" behindDoc="0" locked="0" layoutInCell="1" allowOverlap="1" wp14:anchorId="05F2C0EC" wp14:editId="4CDFD315">
            <wp:simplePos x="0" y="0"/>
            <wp:positionH relativeFrom="margin">
              <wp:posOffset>13512</wp:posOffset>
            </wp:positionH>
            <wp:positionV relativeFrom="margin">
              <wp:posOffset>534035</wp:posOffset>
            </wp:positionV>
            <wp:extent cx="5731560" cy="4299120"/>
            <wp:effectExtent l="0" t="0" r="2540" b="6350"/>
            <wp:wrapSquare wrapText="bothSides"/>
            <wp:docPr id="16" name="Obrázek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lum/>
                      <a:alphaModFix/>
                      <a:extLst>
                        <a:ext uri="{28A0092B-C50C-407E-A947-70E740481C1C}">
                          <a14:useLocalDpi xmlns:a14="http://schemas.microsoft.com/office/drawing/2010/main" val="0"/>
                        </a:ext>
                      </a:extLst>
                    </a:blip>
                    <a:srcRect/>
                    <a:stretch>
                      <a:fillRect/>
                    </a:stretch>
                  </pic:blipFill>
                  <pic:spPr>
                    <a:xfrm>
                      <a:off x="0" y="0"/>
                      <a:ext cx="5731560" cy="4299120"/>
                    </a:xfrm>
                    <a:prstGeom prst="rect">
                      <a:avLst/>
                    </a:prstGeom>
                    <a:ln>
                      <a:noFill/>
                      <a:prstDash/>
                    </a:ln>
                  </pic:spPr>
                </pic:pic>
              </a:graphicData>
            </a:graphic>
          </wp:anchor>
        </w:drawing>
      </w:r>
    </w:p>
    <w:p w:rsidR="00E12E2B" w:rsidRDefault="00E12E2B">
      <w:pPr>
        <w:pStyle w:val="Standard"/>
      </w:pPr>
    </w:p>
    <w:p w:rsidR="00E12E2B" w:rsidRDefault="00E12E2B">
      <w:pPr>
        <w:pStyle w:val="Standard"/>
      </w:pPr>
    </w:p>
    <w:p w:rsidR="00E12E2B" w:rsidRDefault="00E12E2B">
      <w:pPr>
        <w:pStyle w:val="Standard"/>
      </w:pPr>
    </w:p>
    <w:p w:rsidR="00E12E2B" w:rsidRDefault="00E12E2B">
      <w:pPr>
        <w:pStyle w:val="Standard"/>
      </w:pPr>
    </w:p>
    <w:p w:rsidR="00E12E2B" w:rsidRDefault="00E12E2B">
      <w:pPr>
        <w:pStyle w:val="Standard"/>
      </w:pPr>
    </w:p>
    <w:p w:rsidR="00E12E2B" w:rsidRDefault="00E12E2B">
      <w:pPr>
        <w:pStyle w:val="Standard"/>
      </w:pPr>
    </w:p>
    <w:p w:rsidR="00E12E2B" w:rsidRDefault="00E12E2B">
      <w:pPr>
        <w:pStyle w:val="Standard"/>
        <w:spacing w:after="0"/>
        <w:rPr>
          <w:rFonts w:ascii="Tahoma" w:hAnsi="Tahoma" w:cs="Tahoma"/>
          <w:sz w:val="20"/>
          <w:szCs w:val="20"/>
        </w:rPr>
      </w:pPr>
    </w:p>
    <w:p w:rsidR="00E12E2B" w:rsidRDefault="00E12E2B">
      <w:pPr>
        <w:pStyle w:val="Standard"/>
        <w:spacing w:after="0"/>
        <w:rPr>
          <w:rFonts w:ascii="Tahoma" w:hAnsi="Tahoma" w:cs="Tahoma"/>
          <w:sz w:val="20"/>
          <w:szCs w:val="20"/>
        </w:rPr>
      </w:pPr>
    </w:p>
    <w:p w:rsidR="00E12E2B" w:rsidRDefault="00E12E2B">
      <w:pPr>
        <w:pStyle w:val="Standard"/>
        <w:spacing w:after="0"/>
        <w:rPr>
          <w:rFonts w:ascii="Tahoma" w:hAnsi="Tahoma" w:cs="Tahoma"/>
          <w:sz w:val="20"/>
          <w:szCs w:val="20"/>
        </w:rPr>
      </w:pPr>
    </w:p>
    <w:p w:rsidR="00E12E2B" w:rsidRDefault="00E12E2B">
      <w:pPr>
        <w:pStyle w:val="Standard"/>
        <w:spacing w:after="0"/>
        <w:rPr>
          <w:rFonts w:ascii="Tahoma" w:hAnsi="Tahoma" w:cs="Tahoma"/>
          <w:sz w:val="20"/>
          <w:szCs w:val="20"/>
        </w:rPr>
      </w:pPr>
    </w:p>
    <w:p w:rsidR="00E12E2B" w:rsidRDefault="00E12E2B">
      <w:pPr>
        <w:pStyle w:val="Standard"/>
        <w:spacing w:after="0"/>
        <w:rPr>
          <w:rFonts w:ascii="Tahoma" w:hAnsi="Tahoma" w:cs="Tahoma"/>
          <w:sz w:val="20"/>
          <w:szCs w:val="20"/>
        </w:rPr>
      </w:pPr>
    </w:p>
    <w:p w:rsidR="00E12E2B" w:rsidRDefault="00E12E2B">
      <w:pPr>
        <w:pStyle w:val="Standard"/>
        <w:spacing w:after="0"/>
      </w:pPr>
    </w:p>
    <w:sectPr w:rsidR="00E12E2B">
      <w:headerReference w:type="default" r:id="rId16"/>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6B86" w:rsidRDefault="00916B86">
      <w:pPr>
        <w:spacing w:after="0" w:line="240" w:lineRule="auto"/>
      </w:pPr>
      <w:r>
        <w:separator/>
      </w:r>
    </w:p>
  </w:endnote>
  <w:endnote w:type="continuationSeparator" w:id="0">
    <w:p w:rsidR="00916B86" w:rsidRDefault="00916B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
    <w:altName w:val="Calibri"/>
    <w:charset w:val="00"/>
    <w:family w:val="auto"/>
    <w:pitch w:val="variable"/>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6B86" w:rsidRDefault="00916B86">
      <w:pPr>
        <w:spacing w:after="0" w:line="240" w:lineRule="auto"/>
      </w:pPr>
      <w:r>
        <w:rPr>
          <w:color w:val="000000"/>
        </w:rPr>
        <w:separator/>
      </w:r>
    </w:p>
  </w:footnote>
  <w:footnote w:type="continuationSeparator" w:id="0">
    <w:p w:rsidR="00916B86" w:rsidRDefault="00916B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31ED" w:rsidRDefault="0034009B">
    <w:pPr>
      <w:pStyle w:val="Zhlav"/>
      <w:rPr>
        <w:lang w:eastAsia="cs-CZ"/>
      </w:rPr>
    </w:pPr>
    <w:r>
      <w:rPr>
        <w:noProof/>
        <w:lang w:eastAsia="cs-CZ"/>
      </w:rPr>
      <w:drawing>
        <wp:anchor distT="0" distB="0" distL="114300" distR="114300" simplePos="0" relativeHeight="251660288" behindDoc="0" locked="0" layoutInCell="1" allowOverlap="1" wp14:anchorId="44D76372" wp14:editId="160EE582">
          <wp:simplePos x="0" y="0"/>
          <wp:positionH relativeFrom="margin">
            <wp:posOffset>4210050</wp:posOffset>
          </wp:positionH>
          <wp:positionV relativeFrom="margin">
            <wp:posOffset>-1141730</wp:posOffset>
          </wp:positionV>
          <wp:extent cx="1497959" cy="1078920"/>
          <wp:effectExtent l="0" t="0" r="6991" b="6930"/>
          <wp:wrapSquare wrapText="bothSides"/>
          <wp:docPr id="2" name="Obrázek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1497959" cy="1078920"/>
                  </a:xfrm>
                  <a:prstGeom prst="rect">
                    <a:avLst/>
                  </a:prstGeom>
                  <a:noFill/>
                  <a:ln>
                    <a:noFill/>
                    <a:prstDash/>
                  </a:ln>
                </pic:spPr>
              </pic:pic>
            </a:graphicData>
          </a:graphic>
        </wp:anchor>
      </w:drawing>
    </w:r>
    <w:r>
      <w:rPr>
        <w:noProof/>
        <w:lang w:eastAsia="cs-CZ"/>
      </w:rPr>
      <w:drawing>
        <wp:anchor distT="0" distB="0" distL="114300" distR="114300" simplePos="0" relativeHeight="251659264" behindDoc="0" locked="0" layoutInCell="1" allowOverlap="1" wp14:anchorId="369BF9DE" wp14:editId="18CD86E7">
          <wp:simplePos x="0" y="0"/>
          <wp:positionH relativeFrom="margin">
            <wp:align>left</wp:align>
          </wp:positionH>
          <wp:positionV relativeFrom="margin">
            <wp:posOffset>-821055</wp:posOffset>
          </wp:positionV>
          <wp:extent cx="2239560" cy="731519"/>
          <wp:effectExtent l="0" t="0" r="0" b="0"/>
          <wp:wrapSquare wrapText="bothSides"/>
          <wp:docPr id="1" name="Obrázek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lum/>
                    <a:alphaModFix/>
                  </a:blip>
                  <a:srcRect/>
                  <a:stretch>
                    <a:fillRect/>
                  </a:stretch>
                </pic:blipFill>
                <pic:spPr>
                  <a:xfrm>
                    <a:off x="0" y="0"/>
                    <a:ext cx="2239560" cy="731519"/>
                  </a:xfrm>
                  <a:prstGeom prst="rect">
                    <a:avLst/>
                  </a:prstGeom>
                  <a:noFill/>
                  <a:ln>
                    <a:noFill/>
                    <a:prstDash/>
                  </a:ln>
                </pic:spPr>
              </pic:pic>
            </a:graphicData>
          </a:graphic>
        </wp:anchor>
      </w:drawing>
    </w:r>
  </w:p>
  <w:p w:rsidR="001F31ED" w:rsidRDefault="00916B86">
    <w:pPr>
      <w:pStyle w:val="Zhlav"/>
      <w:rPr>
        <w:lang w:eastAsia="cs-CZ"/>
      </w:rPr>
    </w:pPr>
  </w:p>
  <w:p w:rsidR="001F31ED" w:rsidRDefault="00916B86">
    <w:pPr>
      <w:pStyle w:val="Zhlav"/>
      <w:rPr>
        <w:lang w:eastAsia="cs-CZ"/>
      </w:rPr>
    </w:pPr>
  </w:p>
  <w:p w:rsidR="001F31ED" w:rsidRDefault="00916B86">
    <w:pPr>
      <w:pStyle w:val="Zhlav"/>
      <w:rPr>
        <w:lang w:eastAsia="cs-CZ"/>
      </w:rPr>
    </w:pPr>
  </w:p>
  <w:p w:rsidR="001F31ED" w:rsidRDefault="00916B86">
    <w:pPr>
      <w:pStyle w:val="Zhlav"/>
    </w:pPr>
  </w:p>
  <w:p w:rsidR="0034009B" w:rsidRDefault="0034009B">
    <w:pPr>
      <w:pStyle w:val="Zhlav"/>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2E2B"/>
    <w:rsid w:val="00152E4D"/>
    <w:rsid w:val="002C1EB4"/>
    <w:rsid w:val="0034009B"/>
    <w:rsid w:val="003A2259"/>
    <w:rsid w:val="003C46C5"/>
    <w:rsid w:val="00536845"/>
    <w:rsid w:val="00693185"/>
    <w:rsid w:val="006D7CDF"/>
    <w:rsid w:val="007C4690"/>
    <w:rsid w:val="00826825"/>
    <w:rsid w:val="00916B86"/>
    <w:rsid w:val="009C30EC"/>
    <w:rsid w:val="00C9612B"/>
    <w:rsid w:val="00D75419"/>
    <w:rsid w:val="00E12E2B"/>
    <w:rsid w:val="00E53ADE"/>
    <w:rsid w:val="00FF57C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2801B75-FF26-4F30-BD90-9442684BF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F"/>
        <w:kern w:val="3"/>
        <w:sz w:val="22"/>
        <w:szCs w:val="22"/>
        <w:lang w:val="cs-CZ" w:eastAsia="en-US" w:bidi="ar-SA"/>
      </w:rPr>
    </w:rPrDefault>
    <w:pPrDefault>
      <w:pPr>
        <w:widowControl w:val="0"/>
        <w:suppressAutoHyphens/>
        <w:autoSpaceDN w:val="0"/>
        <w:spacing w:after="200" w:line="276" w:lineRule="auto"/>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2">
    <w:name w:val="heading 2"/>
    <w:basedOn w:val="Standard"/>
    <w:next w:val="Textbody"/>
    <w:uiPriority w:val="9"/>
    <w:semiHidden/>
    <w:unhideWhenUsed/>
    <w:qFormat/>
    <w:pPr>
      <w:spacing w:before="100" w:after="100" w:line="240" w:lineRule="auto"/>
      <w:outlineLvl w:val="1"/>
    </w:pPr>
    <w:rPr>
      <w:rFonts w:ascii="Times New Roman" w:eastAsia="Times New Roman" w:hAnsi="Times New Roman" w:cs="Times New Roman"/>
      <w:b/>
      <w:bCs/>
      <w:sz w:val="36"/>
      <w:szCs w:val="36"/>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Standard">
    <w:name w:val="Standard"/>
    <w:pPr>
      <w:widowControl/>
    </w:pPr>
  </w:style>
  <w:style w:type="paragraph" w:customStyle="1" w:styleId="Heading">
    <w:name w:val="Heading"/>
    <w:basedOn w:val="Standard"/>
    <w:next w:val="Textbody"/>
    <w:pPr>
      <w:keepNext/>
      <w:spacing w:before="240" w:after="120"/>
    </w:pPr>
    <w:rPr>
      <w:rFonts w:ascii="Arial" w:eastAsia="Microsoft YaHei" w:hAnsi="Arial" w:cs="Arial"/>
      <w:sz w:val="28"/>
      <w:szCs w:val="28"/>
    </w:rPr>
  </w:style>
  <w:style w:type="paragraph" w:customStyle="1" w:styleId="Textbody">
    <w:name w:val="Text body"/>
    <w:basedOn w:val="Standard"/>
    <w:pPr>
      <w:spacing w:after="120"/>
    </w:pPr>
  </w:style>
  <w:style w:type="paragraph" w:styleId="Seznam">
    <w:name w:val="List"/>
    <w:basedOn w:val="Textbody"/>
    <w:rPr>
      <w:rFonts w:cs="Arial"/>
    </w:rPr>
  </w:style>
  <w:style w:type="paragraph" w:styleId="Titulek">
    <w:name w:val="caption"/>
    <w:basedOn w:val="Standard"/>
    <w:pPr>
      <w:suppressLineNumbers/>
      <w:spacing w:before="120" w:after="120"/>
    </w:pPr>
    <w:rPr>
      <w:rFonts w:cs="Arial"/>
      <w:i/>
      <w:iCs/>
      <w:sz w:val="24"/>
      <w:szCs w:val="24"/>
    </w:rPr>
  </w:style>
  <w:style w:type="paragraph" w:customStyle="1" w:styleId="Index">
    <w:name w:val="Index"/>
    <w:basedOn w:val="Standard"/>
    <w:pPr>
      <w:suppressLineNumbers/>
    </w:pPr>
    <w:rPr>
      <w:rFonts w:cs="Arial"/>
    </w:rPr>
  </w:style>
  <w:style w:type="paragraph" w:styleId="Zhlav">
    <w:name w:val="header"/>
    <w:basedOn w:val="Standard"/>
    <w:pPr>
      <w:suppressLineNumbers/>
      <w:tabs>
        <w:tab w:val="center" w:pos="4536"/>
        <w:tab w:val="right" w:pos="9072"/>
      </w:tabs>
      <w:spacing w:after="0" w:line="240" w:lineRule="auto"/>
    </w:pPr>
  </w:style>
  <w:style w:type="paragraph" w:styleId="Zpat">
    <w:name w:val="footer"/>
    <w:basedOn w:val="Standard"/>
    <w:pPr>
      <w:suppressLineNumbers/>
      <w:tabs>
        <w:tab w:val="center" w:pos="4536"/>
        <w:tab w:val="right" w:pos="9072"/>
      </w:tabs>
      <w:spacing w:after="0" w:line="240" w:lineRule="auto"/>
    </w:pPr>
  </w:style>
  <w:style w:type="paragraph" w:styleId="Textbubliny">
    <w:name w:val="Balloon Text"/>
    <w:basedOn w:val="Standard"/>
    <w:pPr>
      <w:spacing w:after="0" w:line="240" w:lineRule="auto"/>
    </w:pPr>
    <w:rPr>
      <w:rFonts w:ascii="Tahoma" w:hAnsi="Tahoma" w:cs="Tahoma"/>
      <w:sz w:val="16"/>
      <w:szCs w:val="16"/>
    </w:rPr>
  </w:style>
  <w:style w:type="paragraph" w:styleId="Bezmezer">
    <w:name w:val="No Spacing"/>
    <w:basedOn w:val="Standard"/>
    <w:pPr>
      <w:spacing w:after="0" w:line="240" w:lineRule="auto"/>
      <w:ind w:left="142"/>
    </w:pPr>
    <w:rPr>
      <w:rFonts w:cs="Times New Roman"/>
      <w:lang w:eastAsia="ar-SA"/>
    </w:rPr>
  </w:style>
  <w:style w:type="paragraph" w:styleId="Normlnweb">
    <w:name w:val="Normal (Web)"/>
    <w:basedOn w:val="Standard"/>
    <w:pPr>
      <w:spacing w:before="100" w:after="100" w:line="240" w:lineRule="auto"/>
    </w:pPr>
    <w:rPr>
      <w:rFonts w:ascii="Times New Roman" w:eastAsia="Times New Roman" w:hAnsi="Times New Roman" w:cs="Times New Roman"/>
      <w:sz w:val="24"/>
      <w:szCs w:val="24"/>
      <w:lang w:eastAsia="cs-CZ"/>
    </w:rPr>
  </w:style>
  <w:style w:type="paragraph" w:styleId="FormtovanvHTML">
    <w:name w:val="HTML Preformatted"/>
    <w:basedOn w:val="Standar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cs-CZ"/>
    </w:rPr>
  </w:style>
  <w:style w:type="paragraph" w:customStyle="1" w:styleId="FigureCaption">
    <w:name w:val="Figure Caption"/>
    <w:basedOn w:val="Standard"/>
    <w:pPr>
      <w:spacing w:after="0" w:line="240" w:lineRule="auto"/>
    </w:pPr>
    <w:rPr>
      <w:rFonts w:ascii="Times New Roman" w:eastAsia="Times New Roman" w:hAnsi="Times New Roman" w:cs="Times New Roman"/>
      <w:sz w:val="24"/>
      <w:szCs w:val="24"/>
      <w:lang w:val="en-US"/>
    </w:rPr>
  </w:style>
  <w:style w:type="paragraph" w:styleId="Textkomente">
    <w:name w:val="annotation text"/>
    <w:basedOn w:val="Standard"/>
    <w:pPr>
      <w:spacing w:line="240" w:lineRule="auto"/>
    </w:pPr>
    <w:rPr>
      <w:sz w:val="20"/>
      <w:szCs w:val="20"/>
    </w:rPr>
  </w:style>
  <w:style w:type="paragraph" w:styleId="Pedmtkomente">
    <w:name w:val="annotation subject"/>
    <w:basedOn w:val="Textkomente"/>
    <w:rPr>
      <w:b/>
      <w:bCs/>
    </w:rPr>
  </w:style>
  <w:style w:type="character" w:customStyle="1" w:styleId="ZhlavChar">
    <w:name w:val="Záhlaví Char"/>
    <w:basedOn w:val="Standardnpsmoodstavce"/>
  </w:style>
  <w:style w:type="character" w:customStyle="1" w:styleId="ZpatChar">
    <w:name w:val="Zápatí Char"/>
    <w:basedOn w:val="Standardnpsmoodstavce"/>
  </w:style>
  <w:style w:type="character" w:customStyle="1" w:styleId="TextbublinyChar">
    <w:name w:val="Text bubliny Char"/>
    <w:basedOn w:val="Standardnpsmoodstavce"/>
    <w:rPr>
      <w:rFonts w:ascii="Tahoma" w:hAnsi="Tahoma" w:cs="Tahoma"/>
      <w:sz w:val="16"/>
      <w:szCs w:val="16"/>
    </w:rPr>
  </w:style>
  <w:style w:type="character" w:customStyle="1" w:styleId="Internetlink">
    <w:name w:val="Internet link"/>
    <w:basedOn w:val="Standardnpsmoodstavce"/>
    <w:rPr>
      <w:color w:val="0000FF"/>
      <w:u w:val="single"/>
    </w:rPr>
  </w:style>
  <w:style w:type="character" w:customStyle="1" w:styleId="StrongEmphasis">
    <w:name w:val="Strong Emphasis"/>
    <w:basedOn w:val="Standardnpsmoodstavce"/>
    <w:rPr>
      <w:b/>
      <w:bCs/>
    </w:rPr>
  </w:style>
  <w:style w:type="character" w:customStyle="1" w:styleId="FormtovanvHTMLChar">
    <w:name w:val="Formátovaný v HTML Char"/>
    <w:basedOn w:val="Standardnpsmoodstavce"/>
    <w:rPr>
      <w:rFonts w:ascii="Courier New" w:eastAsia="Times New Roman" w:hAnsi="Courier New" w:cs="Courier New"/>
      <w:sz w:val="20"/>
      <w:szCs w:val="20"/>
      <w:lang w:eastAsia="cs-CZ"/>
    </w:rPr>
  </w:style>
  <w:style w:type="character" w:styleId="Sledovanodkaz">
    <w:name w:val="FollowedHyperlink"/>
    <w:basedOn w:val="Standardnpsmoodstavce"/>
    <w:rPr>
      <w:color w:val="800080"/>
      <w:u w:val="single"/>
    </w:rPr>
  </w:style>
  <w:style w:type="character" w:customStyle="1" w:styleId="Nevyeenzmnka1">
    <w:name w:val="Nevyřešená zmínka1"/>
    <w:basedOn w:val="Standardnpsmoodstavce"/>
    <w:rPr>
      <w:color w:val="605E5C"/>
    </w:rPr>
  </w:style>
  <w:style w:type="character" w:customStyle="1" w:styleId="Nadpis2Char">
    <w:name w:val="Nadpis 2 Char"/>
    <w:basedOn w:val="Standardnpsmoodstavce"/>
    <w:rPr>
      <w:rFonts w:ascii="Times New Roman" w:eastAsia="Times New Roman" w:hAnsi="Times New Roman" w:cs="Times New Roman"/>
      <w:b/>
      <w:bCs/>
      <w:sz w:val="36"/>
      <w:szCs w:val="36"/>
      <w:lang w:eastAsia="cs-CZ"/>
    </w:rPr>
  </w:style>
  <w:style w:type="character" w:customStyle="1" w:styleId="jlqj4b">
    <w:name w:val="jlqj4b"/>
    <w:basedOn w:val="Standardnpsmoodstavce"/>
  </w:style>
  <w:style w:type="character" w:styleId="Odkaznakoment">
    <w:name w:val="annotation reference"/>
    <w:basedOn w:val="Standardnpsmoodstavce"/>
    <w:rPr>
      <w:sz w:val="16"/>
      <w:szCs w:val="16"/>
    </w:rPr>
  </w:style>
  <w:style w:type="character" w:customStyle="1" w:styleId="TextkomenteChar">
    <w:name w:val="Text komentáře Char"/>
    <w:basedOn w:val="Standardnpsmoodstavce"/>
    <w:rPr>
      <w:sz w:val="20"/>
      <w:szCs w:val="20"/>
    </w:rPr>
  </w:style>
  <w:style w:type="character" w:customStyle="1" w:styleId="PedmtkomenteChar">
    <w:name w:val="Předmět komentáře Char"/>
    <w:basedOn w:val="TextkomenteChar"/>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mirek_trnka@yahoo.com" TargetMode="Externa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mailto:mirek_trnka@yahoo.com" TargetMode="Externa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hyperlink" Target="https://doi.org/10.1038/s41561-021-00698-0" TargetMode="External"/><Relationship Id="rId11" Type="http://schemas.openxmlformats.org/officeDocument/2006/relationships/image" Target="media/image2.jpeg"/><Relationship Id="rId5" Type="http://schemas.openxmlformats.org/officeDocument/2006/relationships/endnotes" Target="endnotes.xml"/><Relationship Id="rId15" Type="http://schemas.openxmlformats.org/officeDocument/2006/relationships/image" Target="media/image6.jpeg"/><Relationship Id="rId10" Type="http://schemas.openxmlformats.org/officeDocument/2006/relationships/image" Target="media/image1.jpeg"/><Relationship Id="rId4" Type="http://schemas.openxmlformats.org/officeDocument/2006/relationships/footnotes" Target="footnotes.xml"/><Relationship Id="rId9" Type="http://schemas.openxmlformats.org/officeDocument/2006/relationships/hyperlink" Target="mailto:mirek_trnka@yahoo.com" TargetMode="Externa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1348</Words>
  <Characters>7957</Characters>
  <Application>Microsoft Office Word</Application>
  <DocSecurity>0</DocSecurity>
  <Lines>66</Lines>
  <Paragraphs>18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Hanka</dc:creator>
  <cp:lastModifiedBy>Windows User</cp:lastModifiedBy>
  <cp:revision>2</cp:revision>
  <dcterms:created xsi:type="dcterms:W3CDTF">2021-03-15T20:50:00Z</dcterms:created>
  <dcterms:modified xsi:type="dcterms:W3CDTF">2021-03-15T20:50:00Z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Hewlett-Packard Company</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