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273DDCFF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114E40AB" w:rsidR="008B0C81" w:rsidRDefault="009D7163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213AC8D" wp14:editId="493E101D">
                  <wp:extent cx="2276190" cy="704762"/>
                  <wp:effectExtent l="0" t="0" r="0" b="63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ve-formatu-png-ceska-verze-dlouha-barevn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190" cy="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017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438DB359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921716">
        <w:t>24.června</w:t>
      </w:r>
      <w:r w:rsidRPr="00E0461D">
        <w:t xml:space="preserve"> 2020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73DD4258" w14:textId="4A81CACD" w:rsidR="004B53F7" w:rsidRPr="004B53F7" w:rsidRDefault="004B53F7" w:rsidP="004B53F7">
      <w:pPr>
        <w:pStyle w:val="Nadpis1"/>
      </w:pPr>
      <w:r w:rsidRPr="009339C7">
        <w:t>Ambiciózní</w:t>
      </w:r>
      <w:r>
        <w:t xml:space="preserve"> </w:t>
      </w:r>
      <w:r w:rsidRPr="009339C7">
        <w:t xml:space="preserve">projekt </w:t>
      </w:r>
      <w:r>
        <w:t>českých vědců, rozvaděče s novou směsí plynů, n</w:t>
      </w:r>
      <w:r w:rsidRPr="009339C7">
        <w:t>ašel komerční využití</w:t>
      </w:r>
    </w:p>
    <w:p w14:paraId="7630AE7A" w14:textId="77777777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F491B" w14:textId="77777777" w:rsidR="004B53F7" w:rsidRDefault="004B53F7" w:rsidP="004B53F7">
      <w:pPr>
        <w:pStyle w:val="Perex"/>
      </w:pPr>
      <w:r>
        <w:t>Na trhu by se v blízké době mohl objevit inovativní rozvaděč středního napětí, který nevyužívá plyn SF</w:t>
      </w:r>
      <w:r w:rsidRPr="00E002FA">
        <w:rPr>
          <w:vertAlign w:val="subscript"/>
        </w:rPr>
        <w:t>6</w:t>
      </w:r>
      <w:r>
        <w:t xml:space="preserve">. Za ambiciózní novinkou stojí firma </w:t>
      </w:r>
      <w:proofErr w:type="spellStart"/>
      <w:r>
        <w:t>Eaton</w:t>
      </w:r>
      <w:proofErr w:type="spellEnd"/>
      <w:r>
        <w:t xml:space="preserve">, vědci z </w:t>
      </w:r>
      <w:r w:rsidRPr="00A75515">
        <w:t xml:space="preserve">Ústavu fyzikální chemie J. Heyrovského </w:t>
      </w:r>
      <w:r>
        <w:t>AV ČR</w:t>
      </w:r>
      <w:r w:rsidRPr="00A75515">
        <w:t xml:space="preserve"> a Vysoké školy chemicko-technologické</w:t>
      </w:r>
      <w:r>
        <w:t xml:space="preserve"> a jejich úspěšný přenos know-how do praxe. Společný projekt financovala Technologická agentura ČR.</w:t>
      </w:r>
    </w:p>
    <w:p w14:paraId="61D495FE" w14:textId="77777777" w:rsidR="004B53F7" w:rsidRDefault="004B53F7" w:rsidP="004B53F7">
      <w:r>
        <w:t>Více než tři roky pracovali experti na prototypu rozvaděče středního napětí, který obsahuje náhradu za plyn SF</w:t>
      </w:r>
      <w:r w:rsidRPr="00E002FA">
        <w:rPr>
          <w:vertAlign w:val="subscript"/>
        </w:rPr>
        <w:t>6</w:t>
      </w:r>
      <w:r>
        <w:t>. Jejich úsilí teď dospělo do vítězného finále.</w:t>
      </w:r>
      <w:r w:rsidRPr="00554A7B">
        <w:t xml:space="preserve"> </w:t>
      </w:r>
      <w:r w:rsidRPr="005E683C">
        <w:t>Akademie věd České republiky zdůrazňuje potřebu soustředit se na komerční využití výsledků výzkumu</w:t>
      </w:r>
      <w:r>
        <w:t>. Komercionalizaci umožňují zejména</w:t>
      </w:r>
      <w:r w:rsidRPr="001A2B86">
        <w:t xml:space="preserve"> </w:t>
      </w:r>
      <w:r>
        <w:t>projekty</w:t>
      </w:r>
      <w:r w:rsidRPr="001A2B86">
        <w:t xml:space="preserve"> aplikovaného výzkumu a vývoje, jejichž největším podporovatelem je </w:t>
      </w:r>
      <w:r>
        <w:t xml:space="preserve">v České republice </w:t>
      </w:r>
      <w:r w:rsidRPr="001A2B86">
        <w:t>Technologická agentura České republiky</w:t>
      </w:r>
      <w:r>
        <w:t xml:space="preserve"> (TA ČR)</w:t>
      </w:r>
      <w:r w:rsidRPr="001A2B86">
        <w:t>.</w:t>
      </w:r>
      <w:r>
        <w:t xml:space="preserve"> </w:t>
      </w:r>
    </w:p>
    <w:p w14:paraId="7ABD89C6" w14:textId="77777777" w:rsidR="004B53F7" w:rsidRPr="0074241B" w:rsidRDefault="004B53F7" w:rsidP="004B53F7">
      <w:pPr>
        <w:pStyle w:val="Nadpis2"/>
      </w:pPr>
      <w:r>
        <w:t>Náročný výzkum</w:t>
      </w:r>
    </w:p>
    <w:p w14:paraId="36C34946" w14:textId="44D94F89" w:rsidR="004B53F7" w:rsidRDefault="004B53F7" w:rsidP="004B53F7">
      <w:r w:rsidRPr="001A2B86">
        <w:t xml:space="preserve">Ústav fyzikální chemie </w:t>
      </w:r>
      <w:r>
        <w:t>J</w:t>
      </w:r>
      <w:r w:rsidRPr="001A2B86">
        <w:t xml:space="preserve">. </w:t>
      </w:r>
      <w:proofErr w:type="spellStart"/>
      <w:r w:rsidRPr="001A2B86">
        <w:t>Heyrovkého</w:t>
      </w:r>
      <w:proofErr w:type="spellEnd"/>
      <w:r w:rsidRPr="001A2B86">
        <w:t xml:space="preserve"> AV ČR</w:t>
      </w:r>
      <w:r>
        <w:t xml:space="preserve"> úspěšně řeší</w:t>
      </w:r>
      <w:r w:rsidRPr="001A2B86">
        <w:t xml:space="preserve"> </w:t>
      </w:r>
      <w:r>
        <w:t xml:space="preserve">mnohé z </w:t>
      </w:r>
      <w:r w:rsidRPr="001A2B86">
        <w:t>projektů TA</w:t>
      </w:r>
      <w:r>
        <w:t xml:space="preserve"> </w:t>
      </w:r>
      <w:r w:rsidRPr="001A2B86">
        <w:t>ČR</w:t>
      </w:r>
      <w:r>
        <w:t>.</w:t>
      </w:r>
      <w:r w:rsidRPr="001A2B86">
        <w:t xml:space="preserve"> Jed</w:t>
      </w:r>
      <w:r>
        <w:t>en z nich</w:t>
      </w:r>
      <w:r w:rsidRPr="001A2B86">
        <w:t xml:space="preserve"> </w:t>
      </w:r>
      <w:r>
        <w:t>nesl název</w:t>
      </w:r>
      <w:r w:rsidRPr="001A2B86">
        <w:t xml:space="preserve"> „</w:t>
      </w:r>
      <w:r w:rsidRPr="00821876">
        <w:rPr>
          <w:b/>
          <w:i/>
        </w:rPr>
        <w:t>Náhrada plynu SF</w:t>
      </w:r>
      <w:r w:rsidRPr="00E002FA">
        <w:rPr>
          <w:b/>
          <w:i/>
          <w:vertAlign w:val="subscript"/>
        </w:rPr>
        <w:t>6</w:t>
      </w:r>
      <w:r w:rsidRPr="00821876">
        <w:rPr>
          <w:b/>
          <w:i/>
        </w:rPr>
        <w:t xml:space="preserve"> v rozvaděčích</w:t>
      </w:r>
      <w:r w:rsidRPr="001A2B86">
        <w:t>“</w:t>
      </w:r>
      <w:r>
        <w:t xml:space="preserve"> a</w:t>
      </w:r>
      <w:r w:rsidRPr="001A2B86">
        <w:t xml:space="preserve"> jeho návrh byl podán a přijat v rámci veřejné soutěže v Programu na podporu aplikovaného výzkumu a experimentálního vývoje EPSILON. Nositelem projektu za </w:t>
      </w:r>
      <w:r>
        <w:t>ústav Akademie věd byl</w:t>
      </w:r>
      <w:r w:rsidRPr="001A2B86">
        <w:t xml:space="preserve"> </w:t>
      </w:r>
      <w:r w:rsidRPr="00821876">
        <w:t>Juraj Fedor</w:t>
      </w:r>
      <w:r>
        <w:t>, k</w:t>
      </w:r>
      <w:r w:rsidRPr="001A2B86">
        <w:t xml:space="preserve">omerčním příjemcem společnost </w:t>
      </w:r>
      <w:proofErr w:type="spellStart"/>
      <w:r w:rsidRPr="00821876">
        <w:t>Eaton</w:t>
      </w:r>
      <w:proofErr w:type="spellEnd"/>
      <w:r w:rsidRPr="00821876">
        <w:t xml:space="preserve"> Elektronika s.r.o.</w:t>
      </w:r>
      <w:r>
        <w:t xml:space="preserve"> Na výzkumu spolupracovala </w:t>
      </w:r>
      <w:r w:rsidRPr="001A2B86">
        <w:t xml:space="preserve">vedle </w:t>
      </w:r>
      <w:r>
        <w:t xml:space="preserve">Ústavu fyzikální chemie J. Heyrovského AV ČR </w:t>
      </w:r>
      <w:r w:rsidRPr="001A2B86">
        <w:t xml:space="preserve">i Vysoká škola chemicko-technologická v Praze. </w:t>
      </w:r>
    </w:p>
    <w:p w14:paraId="7CDED872" w14:textId="56A64382" w:rsidR="004B53F7" w:rsidRPr="005E683C" w:rsidRDefault="004B53F7" w:rsidP="004B53F7">
      <w:r w:rsidRPr="005E683C">
        <w:t xml:space="preserve">Spínání vysokého napětí nemůže probíhat ve vzduchu, mezi kontakty by došlo k výboji, což není žádoucí. Proto se k spínání využívají speciální, dielektrické plyny, které vzniku výboje zabraňují. </w:t>
      </w:r>
      <w:r w:rsidR="00921716">
        <w:br/>
      </w:r>
      <w:r w:rsidRPr="005E683C">
        <w:t>V současnosti se k tomuto účelu využívá plyn SF</w:t>
      </w:r>
      <w:r w:rsidRPr="00E002FA">
        <w:rPr>
          <w:vertAlign w:val="subscript"/>
        </w:rPr>
        <w:t>6</w:t>
      </w:r>
      <w:r w:rsidRPr="005E683C">
        <w:t xml:space="preserve">. </w:t>
      </w:r>
      <w:r>
        <w:t>S</w:t>
      </w:r>
      <w:r w:rsidRPr="005E683C">
        <w:t xml:space="preserve">pínače a rozvaděče naplněné </w:t>
      </w:r>
      <w:r>
        <w:t xml:space="preserve">tímto </w:t>
      </w:r>
      <w:r w:rsidRPr="005E683C">
        <w:t>plynem</w:t>
      </w:r>
      <w:r w:rsidRPr="001D0A0C">
        <w:t xml:space="preserve"> </w:t>
      </w:r>
      <w:r w:rsidRPr="005E683C">
        <w:t>najdeme</w:t>
      </w:r>
      <w:r w:rsidRPr="001D0A0C">
        <w:t xml:space="preserve"> </w:t>
      </w:r>
      <w:r>
        <w:t>v</w:t>
      </w:r>
      <w:r w:rsidRPr="005E683C">
        <w:t> každé elektrárně na světě, dokonce i v každé rozvodně vysokého napětí</w:t>
      </w:r>
      <w:r>
        <w:t>.</w:t>
      </w:r>
      <w:r w:rsidRPr="005E683C">
        <w:t xml:space="preserve"> </w:t>
      </w:r>
    </w:p>
    <w:p w14:paraId="0C227B56" w14:textId="20E2E41C" w:rsidR="004B53F7" w:rsidRDefault="004B53F7" w:rsidP="004B53F7">
      <w:pPr>
        <w:rPr>
          <w:rFonts w:asciiTheme="minorHAnsi" w:hAnsiTheme="minorHAnsi"/>
        </w:rPr>
      </w:pPr>
      <w:r w:rsidRPr="005E683C">
        <w:lastRenderedPageBreak/>
        <w:t>Problémem je, že SF</w:t>
      </w:r>
      <w:r w:rsidRPr="00E002FA">
        <w:rPr>
          <w:vertAlign w:val="subscript"/>
        </w:rPr>
        <w:t>6</w:t>
      </w:r>
      <w:r w:rsidRPr="005E683C">
        <w:t xml:space="preserve"> je velice silný skleníkový plyn,</w:t>
      </w:r>
      <w:r>
        <w:t xml:space="preserve"> jeho</w:t>
      </w:r>
      <w:r w:rsidRPr="005E683C">
        <w:t xml:space="preserve"> potenciál globálního oteplování </w:t>
      </w:r>
      <w:r>
        <w:t xml:space="preserve">dosahuje </w:t>
      </w:r>
      <w:r w:rsidRPr="005E683C">
        <w:t>23</w:t>
      </w:r>
      <w:r>
        <w:t xml:space="preserve"> </w:t>
      </w:r>
      <w:r w:rsidRPr="005E683C">
        <w:t>000. To znamená, že jeden kilogram SF</w:t>
      </w:r>
      <w:r w:rsidRPr="00E002FA">
        <w:rPr>
          <w:vertAlign w:val="subscript"/>
        </w:rPr>
        <w:t>6</w:t>
      </w:r>
      <w:r w:rsidRPr="005E683C">
        <w:t xml:space="preserve"> uvolněný do atmosféry přispěje ke globálnímu oteplování stejně jako 23</w:t>
      </w:r>
      <w:r>
        <w:t xml:space="preserve"> </w:t>
      </w:r>
      <w:r w:rsidRPr="005E683C">
        <w:t>000 kilogramů CO</w:t>
      </w:r>
      <w:r w:rsidRPr="00E002FA">
        <w:rPr>
          <w:vertAlign w:val="subscript"/>
        </w:rPr>
        <w:t>2</w:t>
      </w:r>
      <w:r w:rsidRPr="005E683C">
        <w:t xml:space="preserve">. Vzhledem k silnému tlaku </w:t>
      </w:r>
      <w:r>
        <w:t xml:space="preserve">na </w:t>
      </w:r>
      <w:r w:rsidRPr="005E683C">
        <w:t>zákaz</w:t>
      </w:r>
      <w:r>
        <w:t xml:space="preserve"> plyn </w:t>
      </w:r>
      <w:r w:rsidRPr="005E683C">
        <w:t>SF</w:t>
      </w:r>
      <w:r w:rsidRPr="00E002FA">
        <w:rPr>
          <w:vertAlign w:val="subscript"/>
        </w:rPr>
        <w:t>6</w:t>
      </w:r>
      <w:r w:rsidRPr="005E683C">
        <w:t xml:space="preserve"> </w:t>
      </w:r>
      <w:r>
        <w:t xml:space="preserve">používat, </w:t>
      </w:r>
      <w:r w:rsidRPr="005E683C">
        <w:t xml:space="preserve">se </w:t>
      </w:r>
      <w:r>
        <w:t xml:space="preserve">za něj </w:t>
      </w:r>
      <w:r w:rsidRPr="005E683C">
        <w:t xml:space="preserve">v současnosti hledá náhrada. </w:t>
      </w:r>
      <w:r>
        <w:t>Právě n</w:t>
      </w:r>
      <w:r w:rsidRPr="005E683C">
        <w:t xml:space="preserve">a </w:t>
      </w:r>
      <w:r>
        <w:t xml:space="preserve">tento úkol </w:t>
      </w:r>
      <w:r w:rsidRPr="005E683C">
        <w:t>se soustředil projekt</w:t>
      </w:r>
      <w:r>
        <w:t>, jehož</w:t>
      </w:r>
      <w:r w:rsidRPr="005E683C">
        <w:t xml:space="preserve"> výsledkem je úspěšně otestovaný prototyp rozvaděče naplněného směsí jiných plynů.</w:t>
      </w:r>
      <w:r>
        <w:t xml:space="preserve"> Hodnota </w:t>
      </w:r>
      <w:r w:rsidRPr="002B6AE1">
        <w:rPr>
          <w:rFonts w:asciiTheme="minorHAnsi" w:hAnsiTheme="minorHAnsi"/>
        </w:rPr>
        <w:t>GWP (potenciálu globálního oteplování) nové směsi je 230.</w:t>
      </w:r>
    </w:p>
    <w:p w14:paraId="64A7210E" w14:textId="77777777" w:rsidR="004B53F7" w:rsidRPr="0074241B" w:rsidRDefault="004B53F7" w:rsidP="004B53F7">
      <w:pPr>
        <w:pStyle w:val="Nadpis2"/>
      </w:pPr>
      <w:r w:rsidRPr="0074241B">
        <w:t>Problematické vlastnictví společných projektů</w:t>
      </w:r>
    </w:p>
    <w:p w14:paraId="673CCF3D" w14:textId="4378B668" w:rsidR="004B53F7" w:rsidRDefault="004B53F7" w:rsidP="004B53F7">
      <w:r>
        <w:t>Výsledky</w:t>
      </w:r>
      <w:r w:rsidRPr="001A2B86">
        <w:t xml:space="preserve"> projektů, které spol</w:t>
      </w:r>
      <w:r>
        <w:t xml:space="preserve">ečně vlastní </w:t>
      </w:r>
      <w:r w:rsidRPr="001A2B86">
        <w:t>více stran</w:t>
      </w:r>
      <w:r>
        <w:t>,</w:t>
      </w:r>
      <w:r w:rsidRPr="001A2B86">
        <w:t xml:space="preserve"> jsou z pohledu budoucí komercializace problematické. Komerční subjekt</w:t>
      </w:r>
      <w:r>
        <w:t>,</w:t>
      </w:r>
      <w:r w:rsidRPr="001A2B86">
        <w:t xml:space="preserve"> přestože </w:t>
      </w:r>
      <w:r>
        <w:t xml:space="preserve">disponuje </w:t>
      </w:r>
      <w:r w:rsidRPr="001A2B86">
        <w:t>pouze část</w:t>
      </w:r>
      <w:r>
        <w:t>í</w:t>
      </w:r>
      <w:r w:rsidRPr="001A2B86">
        <w:t xml:space="preserve"> výsledku, jej může využít k vlastní výrobě bez ohledu na stanovisko ostatních vlastníků</w:t>
      </w:r>
      <w:r>
        <w:t>. N</w:t>
      </w:r>
      <w:r w:rsidRPr="001A2B86">
        <w:t xml:space="preserve">aopak výzkumná organizace, jejímž posláním není klasická výroba, potřebuje </w:t>
      </w:r>
      <w:r w:rsidRPr="006409B8">
        <w:t xml:space="preserve">k poskytnutí licence třetí straně </w:t>
      </w:r>
      <w:r w:rsidRPr="001A2B86">
        <w:t xml:space="preserve">souhlas všech vlastníků </w:t>
      </w:r>
      <w:r>
        <w:t>výsledku</w:t>
      </w:r>
      <w:r w:rsidRPr="001A2B86">
        <w:t>. V tomto případě navíc výsledek nebyl klasickým duševním vlastnictvím, jako je třeba patent</w:t>
      </w:r>
      <w:r>
        <w:t>,</w:t>
      </w:r>
      <w:r w:rsidRPr="001A2B86">
        <w:t xml:space="preserve"> </w:t>
      </w:r>
      <w:r w:rsidR="00921716">
        <w:br/>
      </w:r>
      <w:r w:rsidRPr="001A2B86">
        <w:t>a licencovat bylo možné pouze know-how spojené s vývojem prototypu.</w:t>
      </w:r>
    </w:p>
    <w:p w14:paraId="1ABCD9C3" w14:textId="77777777" w:rsidR="004B53F7" w:rsidRPr="0074241B" w:rsidRDefault="004B53F7" w:rsidP="004B53F7">
      <w:pPr>
        <w:pStyle w:val="Nadpis2"/>
      </w:pPr>
      <w:r w:rsidRPr="0074241B">
        <w:t>Kvalitní partne</w:t>
      </w:r>
      <w:r>
        <w:t>ři</w:t>
      </w:r>
      <w:r w:rsidRPr="0074241B">
        <w:t xml:space="preserve"> j</w:t>
      </w:r>
      <w:r>
        <w:t>sou</w:t>
      </w:r>
      <w:r w:rsidRPr="0074241B">
        <w:t xml:space="preserve"> základ</w:t>
      </w:r>
    </w:p>
    <w:p w14:paraId="36CC55C9" w14:textId="531C1BEA" w:rsidR="004B53F7" w:rsidRPr="001A2B86" w:rsidRDefault="004B53F7" w:rsidP="004B53F7">
      <w:r>
        <w:t xml:space="preserve">Uvedený úspěšný příklad komercionalizace dokládá, jak důležitý je pečlivý výběr </w:t>
      </w:r>
      <w:r w:rsidRPr="001A2B86">
        <w:t>kvalitní</w:t>
      </w:r>
      <w:r>
        <w:t>ch</w:t>
      </w:r>
      <w:r w:rsidR="00921716">
        <w:br/>
      </w:r>
      <w:r w:rsidRPr="001A2B86">
        <w:t>a perspektivní</w:t>
      </w:r>
      <w:r>
        <w:t>ch partnerů</w:t>
      </w:r>
      <w:r w:rsidRPr="001A2B86">
        <w:t xml:space="preserve"> z aplikační sféry</w:t>
      </w:r>
      <w:r>
        <w:t>, jejich spojení s </w:t>
      </w:r>
      <w:proofErr w:type="spellStart"/>
      <w:r>
        <w:t>proinovační</w:t>
      </w:r>
      <w:proofErr w:type="spellEnd"/>
      <w:r>
        <w:t xml:space="preserve"> politikou a zájem </w:t>
      </w:r>
      <w:r w:rsidR="00921716">
        <w:br/>
      </w:r>
      <w:r>
        <w:t xml:space="preserve">o dlouhodobou spolupráci s výzkumnými institucemi. </w:t>
      </w:r>
      <w:r w:rsidRPr="001A2B86">
        <w:t xml:space="preserve">O tom, že společnost </w:t>
      </w:r>
      <w:proofErr w:type="spellStart"/>
      <w:r w:rsidRPr="001A2B86">
        <w:t>Eaton</w:t>
      </w:r>
      <w:proofErr w:type="spellEnd"/>
      <w:r w:rsidRPr="001A2B86">
        <w:t xml:space="preserve"> </w:t>
      </w:r>
      <w:r>
        <w:t xml:space="preserve">skutečně stojí o to </w:t>
      </w:r>
      <w:r w:rsidRPr="001A2B86">
        <w:t>s</w:t>
      </w:r>
      <w:r>
        <w:t> Ústavem fyzikální chemie J. Heyrovského AV ČR</w:t>
      </w:r>
      <w:r w:rsidRPr="001A2B86">
        <w:t xml:space="preserve"> dlouhodobě spolupracovat a je s touto spoluprací spokojen</w:t>
      </w:r>
      <w:r>
        <w:t>a</w:t>
      </w:r>
      <w:r w:rsidRPr="001A2B86">
        <w:t xml:space="preserve">, svědčí fakt, že </w:t>
      </w:r>
      <w:r>
        <w:t xml:space="preserve">obě instituce společně </w:t>
      </w:r>
      <w:r w:rsidRPr="001A2B86">
        <w:t>připravuj</w:t>
      </w:r>
      <w:r>
        <w:t xml:space="preserve">í </w:t>
      </w:r>
      <w:r w:rsidRPr="001A2B86">
        <w:t xml:space="preserve">další navazující projekt do programu </w:t>
      </w:r>
      <w:r>
        <w:t xml:space="preserve">TA ČR </w:t>
      </w:r>
      <w:r w:rsidRPr="001A2B86">
        <w:t>THÉTA.</w:t>
      </w:r>
    </w:p>
    <w:p w14:paraId="5803C52D" w14:textId="042C3F51" w:rsidR="004B53F7" w:rsidRPr="001A2B86" w:rsidRDefault="004B53F7" w:rsidP="004B53F7">
      <w:r>
        <w:t>Jak je pro úspěšnost</w:t>
      </w:r>
      <w:r w:rsidRPr="001A2B86">
        <w:t xml:space="preserve"> komercializace nezbytná spolupráce výzkumných pracovníků a pracovníků transferu technologií </w:t>
      </w:r>
      <w:r>
        <w:t xml:space="preserve">dokládá </w:t>
      </w:r>
      <w:r w:rsidRPr="001A2B86">
        <w:t xml:space="preserve">spolupráce nově vzniklého Centra transferu technologií </w:t>
      </w:r>
      <w:r>
        <w:t>Ústavu fyzikální chemie J. Heyrovského AV ČR</w:t>
      </w:r>
      <w:r w:rsidRPr="001A2B86">
        <w:t xml:space="preserve"> a výzkumného týmu v čele s </w:t>
      </w:r>
      <w:r>
        <w:t>Jurajem</w:t>
      </w:r>
      <w:r w:rsidRPr="001A2B86">
        <w:t xml:space="preserve"> Fedorem. Velkým dílem se </w:t>
      </w:r>
      <w:r w:rsidR="00921716">
        <w:br/>
      </w:r>
      <w:r w:rsidRPr="001A2B86">
        <w:t>o úspěch zasloužil</w:t>
      </w:r>
      <w:r>
        <w:t>y</w:t>
      </w:r>
      <w:r w:rsidRPr="001A2B86">
        <w:t xml:space="preserve"> </w:t>
      </w:r>
      <w:r>
        <w:t xml:space="preserve">také </w:t>
      </w:r>
      <w:r w:rsidRPr="001A2B86">
        <w:t xml:space="preserve">pracoviště </w:t>
      </w:r>
      <w:r w:rsidR="00013EBD">
        <w:t xml:space="preserve">Oddělení transferu technologií </w:t>
      </w:r>
      <w:r w:rsidRPr="001A2B86">
        <w:t>VŠCHT i poradenská společnost HARBER IP</w:t>
      </w:r>
      <w:r>
        <w:t>.</w:t>
      </w:r>
    </w:p>
    <w:p w14:paraId="7A155E94" w14:textId="77777777" w:rsidR="008B0C81" w:rsidRDefault="008B0C81" w:rsidP="008B0C81">
      <w:pPr>
        <w:pStyle w:val="Normlnweb"/>
      </w:pPr>
    </w:p>
    <w:p w14:paraId="79F21E95" w14:textId="483241EF" w:rsidR="00A97D66" w:rsidRDefault="008B0C81" w:rsidP="008B0C81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Pr="00F62271">
        <w:rPr>
          <w:b/>
        </w:rPr>
        <w:t xml:space="preserve">Mgr. </w:t>
      </w:r>
      <w:r w:rsidR="00A97D66">
        <w:rPr>
          <w:b/>
        </w:rPr>
        <w:t>Juraj Fedor,</w:t>
      </w:r>
      <w:r w:rsidRPr="00F62271">
        <w:rPr>
          <w:b/>
        </w:rPr>
        <w:t xml:space="preserve"> Ph.D.</w:t>
      </w:r>
      <w:r w:rsidRPr="00F62271">
        <w:br/>
        <w:t>Ústav</w:t>
      </w:r>
      <w:r w:rsidR="00A97D66">
        <w:t xml:space="preserve"> fyzikální chemie J. Heyrovského</w:t>
      </w:r>
      <w:r w:rsidRPr="00F62271">
        <w:t xml:space="preserve"> AV ČR</w:t>
      </w:r>
      <w:r w:rsidRPr="00F62271">
        <w:br/>
      </w:r>
      <w:r w:rsidR="00A97D66" w:rsidRPr="00A97D66">
        <w:t>juraj.fedor</w:t>
      </w:r>
      <w:hyperlink r:id="rId13" w:history="1">
        <w:r w:rsidR="00A97D66" w:rsidRPr="00A97D66">
          <w:t>@jh-inst.cas.cz</w:t>
        </w:r>
        <w:r w:rsidR="00A97D66">
          <w:rPr>
            <w:rStyle w:val="Hypertextovodkaz"/>
          </w:rPr>
          <w:t xml:space="preserve"> </w:t>
        </w:r>
      </w:hyperlink>
      <w:r>
        <w:br/>
      </w:r>
      <w:r w:rsidRPr="001D7480">
        <w:t>+420</w:t>
      </w:r>
      <w:r w:rsidR="00A97D66">
        <w:t> 266 053 636</w:t>
      </w:r>
    </w:p>
    <w:p w14:paraId="1546D393" w14:textId="77777777" w:rsidR="00A97D66" w:rsidRDefault="00A97D66" w:rsidP="008B0C81">
      <w:pPr>
        <w:pStyle w:val="Vceinformac"/>
      </w:pPr>
    </w:p>
    <w:p w14:paraId="0C34CA9C" w14:textId="77777777" w:rsidR="00A97D66" w:rsidRDefault="00A97D66" w:rsidP="008B0C81">
      <w:pPr>
        <w:pStyle w:val="Vceinformac"/>
      </w:pPr>
    </w:p>
    <w:p w14:paraId="6AE1AC09" w14:textId="5B56835C" w:rsidR="00EB7383" w:rsidRDefault="00EB7383" w:rsidP="00E76CAB">
      <w:pPr>
        <w:pStyle w:val="Nadpis2"/>
        <w:pBdr>
          <w:bottom w:val="single" w:sz="6" w:space="7" w:color="EEEEEE"/>
        </w:pBdr>
        <w:shd w:val="clear" w:color="auto" w:fill="FFFFFF"/>
        <w:spacing w:after="300"/>
      </w:pPr>
      <w:bookmarkStart w:id="1" w:name="_GoBack"/>
      <w:bookmarkEnd w:id="1"/>
    </w:p>
    <w:sectPr w:rsidR="00EB7383" w:rsidSect="0071586E">
      <w:footerReference w:type="default" r:id="rId14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BD9A5" w14:textId="77777777" w:rsidR="00890AD5" w:rsidRDefault="00890AD5">
      <w:pPr>
        <w:spacing w:before="0" w:after="0"/>
      </w:pPr>
      <w:r>
        <w:separator/>
      </w:r>
    </w:p>
  </w:endnote>
  <w:endnote w:type="continuationSeparator" w:id="0">
    <w:p w14:paraId="20656905" w14:textId="77777777" w:rsidR="00890AD5" w:rsidRDefault="00890A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261B00DE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A97D66">
      <w:rPr>
        <w:b/>
      </w:rPr>
      <w:t>Daniel Jakeš</w:t>
    </w:r>
  </w:p>
  <w:p w14:paraId="60076828" w14:textId="27017CE1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AV ČR </w:t>
    </w:r>
    <w:r w:rsidRPr="006B02B7">
      <w:tab/>
      <w:t xml:space="preserve">Ústav </w:t>
    </w:r>
    <w:r w:rsidR="00A97D66">
      <w:t>fyzikální chemie J. Heyrovského A</w:t>
    </w:r>
    <w:r w:rsidRPr="006B02B7">
      <w:t>V ČR</w:t>
    </w:r>
  </w:p>
  <w:p w14:paraId="1733B8BA" w14:textId="1DC928FD" w:rsidR="00A7467B" w:rsidRPr="006B02B7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hyperlink r:id="rId1" w:history="1">
      <w:r w:rsidR="00A97D66" w:rsidRPr="0086458F">
        <w:rPr>
          <w:rStyle w:val="Hypertextovodkaz"/>
        </w:rPr>
        <w:t>daniel.jakes@jh-inst.cas.cz</w:t>
      </w:r>
    </w:hyperlink>
    <w:r w:rsidR="00A97D66">
      <w:t xml:space="preserve"> </w:t>
    </w:r>
  </w:p>
  <w:p w14:paraId="36426427" w14:textId="68AC080E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777 97 0812</w:t>
    </w:r>
    <w:r w:rsidRPr="00301D45">
      <w:tab/>
      <w:t>+420</w:t>
    </w:r>
    <w:r w:rsidR="00A97D66">
      <w:t> 739 058 416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FC6CE" w14:textId="77777777" w:rsidR="00890AD5" w:rsidRDefault="00890AD5">
      <w:pPr>
        <w:spacing w:before="0" w:after="0"/>
      </w:pPr>
      <w:r>
        <w:separator/>
      </w:r>
    </w:p>
  </w:footnote>
  <w:footnote w:type="continuationSeparator" w:id="0">
    <w:p w14:paraId="32EB298C" w14:textId="77777777" w:rsidR="00890AD5" w:rsidRDefault="00890AD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4784"/>
    <w:rsid w:val="00013EBD"/>
    <w:rsid w:val="00140488"/>
    <w:rsid w:val="00150171"/>
    <w:rsid w:val="00157B18"/>
    <w:rsid w:val="002A4FA9"/>
    <w:rsid w:val="003671CD"/>
    <w:rsid w:val="003A48B1"/>
    <w:rsid w:val="003D204E"/>
    <w:rsid w:val="003F4BA2"/>
    <w:rsid w:val="00470091"/>
    <w:rsid w:val="004B53F7"/>
    <w:rsid w:val="004C28B1"/>
    <w:rsid w:val="004E6044"/>
    <w:rsid w:val="0051291C"/>
    <w:rsid w:val="0053529A"/>
    <w:rsid w:val="005535F5"/>
    <w:rsid w:val="006A0C95"/>
    <w:rsid w:val="006C1DDA"/>
    <w:rsid w:val="006D1F8E"/>
    <w:rsid w:val="007636B6"/>
    <w:rsid w:val="007A53D3"/>
    <w:rsid w:val="007D274B"/>
    <w:rsid w:val="00817C7E"/>
    <w:rsid w:val="008663A6"/>
    <w:rsid w:val="00886C3C"/>
    <w:rsid w:val="00890AD5"/>
    <w:rsid w:val="008A1807"/>
    <w:rsid w:val="008B0C81"/>
    <w:rsid w:val="008B5E04"/>
    <w:rsid w:val="008E650C"/>
    <w:rsid w:val="00921716"/>
    <w:rsid w:val="0092797E"/>
    <w:rsid w:val="009524CC"/>
    <w:rsid w:val="009A21D1"/>
    <w:rsid w:val="009D7163"/>
    <w:rsid w:val="00A36CD2"/>
    <w:rsid w:val="00A97D66"/>
    <w:rsid w:val="00AC4F38"/>
    <w:rsid w:val="00BD51EC"/>
    <w:rsid w:val="00C80B22"/>
    <w:rsid w:val="00D368EF"/>
    <w:rsid w:val="00DE3F29"/>
    <w:rsid w:val="00E76CAB"/>
    <w:rsid w:val="00E91C79"/>
    <w:rsid w:val="00EA63AE"/>
    <w:rsid w:val="00EB7383"/>
    <w:rsid w:val="037AEF69"/>
    <w:rsid w:val="04657A7E"/>
    <w:rsid w:val="12D47568"/>
    <w:rsid w:val="273DDCFF"/>
    <w:rsid w:val="4347A56B"/>
    <w:rsid w:val="4CBA7444"/>
    <w:rsid w:val="592F475A"/>
    <w:rsid w:val="68DDDE20"/>
    <w:rsid w:val="7441A9CC"/>
    <w:rsid w:val="760A77AF"/>
    <w:rsid w:val="7FC6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Bezmezer">
    <w:name w:val="No Spacing"/>
    <w:uiPriority w:val="1"/>
    <w:qFormat/>
    <w:rsid w:val="004B53F7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B53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53F7"/>
    <w:pPr>
      <w:spacing w:before="0" w:beforeAutospacing="0" w:after="160" w:afterAutospacing="0"/>
      <w:ind w:left="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53F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3F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3F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">
    <w:name w:val="u"/>
    <w:basedOn w:val="Standardnpsmoodstavce"/>
    <w:rsid w:val="00A97D66"/>
  </w:style>
  <w:style w:type="character" w:customStyle="1" w:styleId="d">
    <w:name w:val="d"/>
    <w:basedOn w:val="Standardnpsmoodstavce"/>
    <w:rsid w:val="00A97D66"/>
  </w:style>
  <w:style w:type="character" w:styleId="Hypertextovodkaz">
    <w:name w:val="Hyperlink"/>
    <w:basedOn w:val="Standardnpsmoodstavce"/>
    <w:uiPriority w:val="99"/>
    <w:unhideWhenUsed/>
    <w:rsid w:val="00A97D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7D6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7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lat@isibrno.cz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.jakes@jh-inst.c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D2E35132D26478D8E35AE6B8F43C4" ma:contentTypeVersion="8" ma:contentTypeDescription="Vytvoří nový dokument" ma:contentTypeScope="" ma:versionID="d1b6dcdeb56f2b80aab547f5d46935bf">
  <xsd:schema xmlns:xsd="http://www.w3.org/2001/XMLSchema" xmlns:xs="http://www.w3.org/2001/XMLSchema" xmlns:p="http://schemas.microsoft.com/office/2006/metadata/properties" xmlns:ns3="9ab371c4-f620-4ad9-8426-a3de892c8eee" targetNamespace="http://schemas.microsoft.com/office/2006/metadata/properties" ma:root="true" ma:fieldsID="628185723d4b30b0a2a4d6a318b4e051" ns3:_="">
    <xsd:import namespace="9ab371c4-f620-4ad9-8426-a3de892c8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371c4-f620-4ad9-8426-a3de892c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69F19-AB48-4E7B-8E00-7D208806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5F189-C2DC-4650-B478-E680BAE7AC58}">
  <ds:schemaRefs>
    <ds:schemaRef ds:uri="http://schemas.microsoft.com/office/2006/documentManagement/types"/>
    <ds:schemaRef ds:uri="http://purl.org/dc/terms/"/>
    <ds:schemaRef ds:uri="9ab371c4-f620-4ad9-8426-a3de892c8eee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2C7300-0543-4520-A5F5-EC1AECFA9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371c4-f620-4ad9-8426-a3de892c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Spěváčková Martina</cp:lastModifiedBy>
  <cp:revision>2</cp:revision>
  <dcterms:created xsi:type="dcterms:W3CDTF">2021-06-23T14:52:00Z</dcterms:created>
  <dcterms:modified xsi:type="dcterms:W3CDTF">2021-06-23T14:52:00Z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0x010100368D2E35132D26478D8E35AE6B8F43C4</vt:lpwstr>
  </property>
  <property fmtid="{D5CDD505-2E9C-101B-9397-08002B2CF9AE}" pid="3" name="Order">
    <vt:r8>6600</vt:r8>
  </property>
  <property fmtid="{D5CDD505-2E9C-101B-9397-08002B2CF9AE}" pid="4" name="ComplianceAssetId">
    <vt:lpwstr/>
  </property>
</Properties>
</file>