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37E8" w14:textId="65986949" w:rsidR="008B0C81" w:rsidRDefault="004A5967" w:rsidP="008B0C81">
      <w: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8B0C81" w14:paraId="3F57DDBC" w14:textId="77777777" w:rsidTr="00803B4E">
        <w:tc>
          <w:tcPr>
            <w:tcW w:w="2977" w:type="dxa"/>
            <w:vAlign w:val="center"/>
          </w:tcPr>
          <w:p w14:paraId="5B8F68CA" w14:textId="77777777" w:rsidR="008B0C81" w:rsidRDefault="008B0C81" w:rsidP="00803B4E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69CD717A" wp14:editId="09874DBC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27B3FF5A" w14:textId="0E5DC28C" w:rsidR="008B0C81" w:rsidRDefault="00524F76" w:rsidP="00803B4E">
            <w:pPr>
              <w:pStyle w:val="Kontakt"/>
              <w:rPr>
                <w:rFonts w:asciiTheme="minorHAnsi" w:hAnsiTheme="minorHAnsi" w:cstheme="minorHAnsi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2AECA5A0" wp14:editId="4DDDC1ED">
                  <wp:simplePos x="0" y="0"/>
                  <wp:positionH relativeFrom="column">
                    <wp:posOffset>-2014855</wp:posOffset>
                  </wp:positionH>
                  <wp:positionV relativeFrom="paragraph">
                    <wp:posOffset>-22225</wp:posOffset>
                  </wp:positionV>
                  <wp:extent cx="1905000" cy="412750"/>
                  <wp:effectExtent l="0" t="0" r="0" b="6350"/>
                  <wp:wrapSquare wrapText="bothSides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ZFG_logo_horizontal_cz_cmy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8E25E6C" w14:textId="77777777" w:rsidR="008B0C81" w:rsidRDefault="008B0C81" w:rsidP="008B0C81"/>
    <w:p w14:paraId="0F4D2902" w14:textId="77777777" w:rsidR="008B0C81" w:rsidRDefault="008B0C81" w:rsidP="008B0C81">
      <w:bookmarkStart w:id="1" w:name="_GoBack"/>
      <w:bookmarkEnd w:id="1"/>
    </w:p>
    <w:p w14:paraId="1E2AE80D" w14:textId="7B96DE5C" w:rsidR="008B0C81" w:rsidRDefault="008B0C81" w:rsidP="008B0C81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</w:r>
      <w:r w:rsidR="006A0C95">
        <w:t>Praha</w:t>
      </w:r>
      <w:r w:rsidRPr="00E0461D">
        <w:t xml:space="preserve"> </w:t>
      </w:r>
      <w:r w:rsidR="00923868">
        <w:t>9. února 2021</w:t>
      </w:r>
    </w:p>
    <w:p w14:paraId="6F1508A5" w14:textId="77777777" w:rsidR="008B0C81" w:rsidRPr="00E80AFE" w:rsidRDefault="008B0C81" w:rsidP="008B0C81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14F99E8D" w14:textId="77777777" w:rsidR="008B0C81" w:rsidRDefault="008B0C81" w:rsidP="008B0C81">
      <w:pPr>
        <w:pStyle w:val="Normlnweb"/>
        <w:sectPr w:rsidR="008B0C81" w:rsidSect="0071586E">
          <w:footerReference w:type="default" r:id="rId11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47443D65" w14:textId="77777777" w:rsidR="008B0C81" w:rsidRDefault="008B0C81" w:rsidP="008B0C81">
      <w:pPr>
        <w:pStyle w:val="Normlnweb"/>
      </w:pPr>
    </w:p>
    <w:p w14:paraId="7630AE7A" w14:textId="3332553A" w:rsidR="008B0C81" w:rsidRDefault="00A93C2F" w:rsidP="008B0C81">
      <w:pPr>
        <w:pStyle w:val="Nadpis1"/>
        <w:rPr>
          <w:rStyle w:val="Siln"/>
          <w:b/>
        </w:rPr>
      </w:pPr>
      <w:r>
        <w:t>mini</w:t>
      </w:r>
      <w:r w:rsidR="00121DDC">
        <w:t>prasata</w:t>
      </w:r>
      <w:r w:rsidRPr="00923868">
        <w:t xml:space="preserve"> </w:t>
      </w:r>
      <w:r w:rsidR="00923868" w:rsidRPr="00923868">
        <w:t>pomáhají v terapii Crohnovy nemoci</w:t>
      </w:r>
      <w:r w:rsidR="008B0C81">
        <w:rPr>
          <w:noProof/>
        </w:rPr>
        <w:drawing>
          <wp:inline distT="0" distB="0" distL="0" distR="0" wp14:anchorId="2F140222" wp14:editId="2DA28CB9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A0D31" w14:textId="37E69053" w:rsidR="00121DDC" w:rsidRPr="00923868" w:rsidRDefault="00121DDC" w:rsidP="00121DDC">
      <w:pPr>
        <w:rPr>
          <w:b/>
          <w:color w:val="0974BD"/>
        </w:rPr>
      </w:pPr>
      <w:r>
        <w:rPr>
          <w:b/>
          <w:color w:val="0974BD"/>
        </w:rPr>
        <w:t xml:space="preserve">Při léčbě komplikací Crohnovy choroby, vážné nemoci trávicího traktu, můžou pomoci </w:t>
      </w:r>
      <w:proofErr w:type="spellStart"/>
      <w:r>
        <w:rPr>
          <w:b/>
          <w:color w:val="0974BD"/>
        </w:rPr>
        <w:t>miniprasata</w:t>
      </w:r>
      <w:proofErr w:type="spellEnd"/>
      <w:r>
        <w:rPr>
          <w:b/>
          <w:color w:val="0974BD"/>
        </w:rPr>
        <w:t xml:space="preserve">. </w:t>
      </w:r>
      <w:r w:rsidRPr="00923868">
        <w:rPr>
          <w:b/>
          <w:color w:val="0974BD"/>
        </w:rPr>
        <w:t>V Ústavu živočišné fyziologie a genetiky AV ČR se podařilo vytvořit model s</w:t>
      </w:r>
      <w:r>
        <w:rPr>
          <w:b/>
          <w:color w:val="0974BD"/>
        </w:rPr>
        <w:t> </w:t>
      </w:r>
      <w:r w:rsidR="006A4CCE">
        <w:rPr>
          <w:b/>
          <w:color w:val="0974BD"/>
        </w:rPr>
        <w:t>po</w:t>
      </w:r>
      <w:r>
        <w:rPr>
          <w:b/>
          <w:color w:val="0974BD"/>
        </w:rPr>
        <w:t xml:space="preserve">dobnými </w:t>
      </w:r>
      <w:r w:rsidRPr="00923868">
        <w:rPr>
          <w:b/>
          <w:color w:val="0974BD"/>
        </w:rPr>
        <w:t xml:space="preserve">komplikacemi, jakými trpí pacienti s Crohnovou chorobou. </w:t>
      </w:r>
      <w:r>
        <w:rPr>
          <w:b/>
          <w:color w:val="0974BD"/>
        </w:rPr>
        <w:t xml:space="preserve">Zvířata </w:t>
      </w:r>
      <w:r w:rsidR="009C5322">
        <w:rPr>
          <w:b/>
          <w:color w:val="0974BD"/>
        </w:rPr>
        <w:t xml:space="preserve">tak </w:t>
      </w:r>
      <w:r>
        <w:rPr>
          <w:b/>
          <w:color w:val="0974BD"/>
        </w:rPr>
        <w:t>mohou</w:t>
      </w:r>
      <w:r w:rsidRPr="00923868">
        <w:rPr>
          <w:b/>
          <w:color w:val="0974BD"/>
        </w:rPr>
        <w:t xml:space="preserve"> posloužit</w:t>
      </w:r>
      <w:r w:rsidR="00D030D8">
        <w:rPr>
          <w:b/>
          <w:color w:val="0974BD"/>
        </w:rPr>
        <w:t xml:space="preserve"> k</w:t>
      </w:r>
      <w:r w:rsidRPr="00923868">
        <w:rPr>
          <w:b/>
          <w:color w:val="0974BD"/>
        </w:rPr>
        <w:t xml:space="preserve"> vývoj</w:t>
      </w:r>
      <w:r w:rsidR="00D030D8">
        <w:rPr>
          <w:b/>
          <w:color w:val="0974BD"/>
        </w:rPr>
        <w:t>i</w:t>
      </w:r>
      <w:r w:rsidRPr="00923868">
        <w:rPr>
          <w:b/>
          <w:color w:val="0974BD"/>
        </w:rPr>
        <w:t xml:space="preserve"> </w:t>
      </w:r>
      <w:r w:rsidR="00524F76">
        <w:rPr>
          <w:b/>
          <w:color w:val="0974BD"/>
        </w:rPr>
        <w:br/>
      </w:r>
      <w:r w:rsidRPr="00923868">
        <w:rPr>
          <w:b/>
          <w:color w:val="0974BD"/>
        </w:rPr>
        <w:t xml:space="preserve">a testování nových léčebných postupů. </w:t>
      </w:r>
    </w:p>
    <w:p w14:paraId="1B4C3CBA" w14:textId="26393864" w:rsidR="006A4CCE" w:rsidRDefault="006A4CCE">
      <w:r>
        <w:t xml:space="preserve">Když pacienti s Crohnovou chorobou bojují s nějakými komplikacemi, často jde o opakovaná zúžení střeva. </w:t>
      </w:r>
      <w:r w:rsidRPr="00923868">
        <w:rPr>
          <w:i/>
        </w:rPr>
        <w:t>„Přibližně 50</w:t>
      </w:r>
      <w:r>
        <w:rPr>
          <w:i/>
        </w:rPr>
        <w:t xml:space="preserve"> </w:t>
      </w:r>
      <w:r w:rsidRPr="00923868">
        <w:rPr>
          <w:i/>
        </w:rPr>
        <w:t>% pacientů s Crohnovou nemocí podstoupí do 10 let po stanovení diagnózy chirurgické odstranění poškozené (často zúžené) části střeva a až u 60</w:t>
      </w:r>
      <w:r>
        <w:rPr>
          <w:i/>
        </w:rPr>
        <w:t xml:space="preserve"> </w:t>
      </w:r>
      <w:r w:rsidRPr="00923868">
        <w:rPr>
          <w:i/>
        </w:rPr>
        <w:t>% z nich se v místě opětovného spojení projeví patologie v podobě zesílení stěny střeva a následné</w:t>
      </w:r>
      <w:r w:rsidR="00D030D8">
        <w:rPr>
          <w:i/>
        </w:rPr>
        <w:t>ho</w:t>
      </w:r>
      <w:r w:rsidRPr="00923868">
        <w:rPr>
          <w:i/>
        </w:rPr>
        <w:t xml:space="preserve"> opětovné</w:t>
      </w:r>
      <w:r w:rsidR="00D030D8">
        <w:rPr>
          <w:i/>
        </w:rPr>
        <w:t>ho</w:t>
      </w:r>
      <w:r w:rsidRPr="00923868">
        <w:rPr>
          <w:i/>
        </w:rPr>
        <w:t xml:space="preserve"> zúžení, </w:t>
      </w:r>
      <w:r w:rsidR="00D030D8">
        <w:rPr>
          <w:i/>
        </w:rPr>
        <w:t xml:space="preserve">které </w:t>
      </w:r>
      <w:r w:rsidRPr="00923868">
        <w:rPr>
          <w:i/>
        </w:rPr>
        <w:t>omezuj</w:t>
      </w:r>
      <w:r w:rsidR="00D030D8">
        <w:rPr>
          <w:i/>
        </w:rPr>
        <w:t xml:space="preserve">e </w:t>
      </w:r>
      <w:r w:rsidRPr="00923868">
        <w:rPr>
          <w:i/>
        </w:rPr>
        <w:t xml:space="preserve">průchodnost </w:t>
      </w:r>
      <w:r w:rsidR="00D030D8">
        <w:rPr>
          <w:i/>
        </w:rPr>
        <w:t xml:space="preserve">a </w:t>
      </w:r>
      <w:r w:rsidRPr="00923868">
        <w:rPr>
          <w:i/>
        </w:rPr>
        <w:t>vyžaduj</w:t>
      </w:r>
      <w:r w:rsidR="00D030D8">
        <w:rPr>
          <w:i/>
        </w:rPr>
        <w:t xml:space="preserve">e </w:t>
      </w:r>
      <w:r w:rsidRPr="00923868">
        <w:rPr>
          <w:i/>
        </w:rPr>
        <w:t>další chirurgické zákroky</w:t>
      </w:r>
      <w:r>
        <w:rPr>
          <w:i/>
        </w:rPr>
        <w:t>,</w:t>
      </w:r>
      <w:r w:rsidRPr="00923868">
        <w:rPr>
          <w:i/>
        </w:rPr>
        <w:t xml:space="preserve">“ </w:t>
      </w:r>
      <w:r>
        <w:t>vysvětluje Martin Lukáš</w:t>
      </w:r>
      <w:r w:rsidR="005806D8">
        <w:t xml:space="preserve"> motivaci práce </w:t>
      </w:r>
      <w:r w:rsidR="00CD4852">
        <w:t>svého</w:t>
      </w:r>
      <w:r w:rsidR="005806D8">
        <w:t xml:space="preserve"> týmu. </w:t>
      </w:r>
    </w:p>
    <w:p w14:paraId="3BAE53E7" w14:textId="6C681F96" w:rsidR="00923868" w:rsidRDefault="00923868" w:rsidP="006A4CCE">
      <w:r w:rsidRPr="00923868">
        <w:t xml:space="preserve">V liběchovském pracovišti </w:t>
      </w:r>
      <w:r w:rsidR="00995730">
        <w:t xml:space="preserve">Ústavu živočišné fyziologie a genetiky AV ČR </w:t>
      </w:r>
      <w:r w:rsidRPr="00923868">
        <w:t xml:space="preserve">se dlouhodobě zabývají využitím </w:t>
      </w:r>
      <w:proofErr w:type="spellStart"/>
      <w:r w:rsidRPr="00923868">
        <w:t>miniprasat</w:t>
      </w:r>
      <w:proofErr w:type="spellEnd"/>
      <w:r w:rsidRPr="00923868">
        <w:t xml:space="preserve"> jako vhodných modelů k výzkumu nejrůznějších lidských onemocnění. </w:t>
      </w:r>
      <w:r w:rsidRPr="00923868">
        <w:rPr>
          <w:i/>
        </w:rPr>
        <w:t xml:space="preserve">„Vytvořili jsme nový, opakovatelný model střevního zúžení u </w:t>
      </w:r>
      <w:proofErr w:type="spellStart"/>
      <w:r w:rsidRPr="00923868">
        <w:rPr>
          <w:i/>
        </w:rPr>
        <w:t>miniprasete</w:t>
      </w:r>
      <w:proofErr w:type="spellEnd"/>
      <w:r w:rsidRPr="00923868">
        <w:rPr>
          <w:i/>
        </w:rPr>
        <w:t xml:space="preserve"> jakožto velkého zvířecího modelu s makroskopicky i mikroskopicky potvrzenými zánětlivými změnami, </w:t>
      </w:r>
      <w:r w:rsidR="00D030D8">
        <w:rPr>
          <w:i/>
        </w:rPr>
        <w:t xml:space="preserve">jež </w:t>
      </w:r>
      <w:r w:rsidRPr="00923868">
        <w:rPr>
          <w:i/>
        </w:rPr>
        <w:t>napodobují Crohnovu nemoc lidí</w:t>
      </w:r>
      <w:r w:rsidR="00A417DA">
        <w:rPr>
          <w:i/>
        </w:rPr>
        <w:t>,</w:t>
      </w:r>
      <w:r w:rsidRPr="00923868">
        <w:rPr>
          <w:i/>
        </w:rPr>
        <w:t xml:space="preserve">“ </w:t>
      </w:r>
      <w:r w:rsidRPr="00923868">
        <w:t xml:space="preserve">popisuje </w:t>
      </w:r>
      <w:r w:rsidR="00995730" w:rsidRPr="00F67956">
        <w:rPr>
          <w:bCs/>
        </w:rPr>
        <w:t xml:space="preserve">Štefan </w:t>
      </w:r>
      <w:proofErr w:type="spellStart"/>
      <w:r w:rsidR="00995730" w:rsidRPr="00F67956">
        <w:rPr>
          <w:bCs/>
        </w:rPr>
        <w:t>Juhás</w:t>
      </w:r>
      <w:proofErr w:type="spellEnd"/>
      <w:r w:rsidR="00995730" w:rsidRPr="005009DD" w:rsidDel="00995730">
        <w:t xml:space="preserve"> </w:t>
      </w:r>
      <w:r w:rsidR="005806D8">
        <w:t>z Ústavu živočišné fyziologie a genetiky AVČR</w:t>
      </w:r>
      <w:r w:rsidRPr="00923868">
        <w:t xml:space="preserve">. 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29"/>
        <w:gridCol w:w="426"/>
      </w:tblGrid>
      <w:tr w:rsidR="00995730" w:rsidRPr="00E0461D" w14:paraId="7C3F8B6F" w14:textId="77777777" w:rsidTr="007F3D0C">
        <w:tc>
          <w:tcPr>
            <w:tcW w:w="567" w:type="dxa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  <w:hideMark/>
          </w:tcPr>
          <w:p w14:paraId="1B82D2D3" w14:textId="77777777" w:rsidR="00995730" w:rsidRPr="00E0461D" w:rsidRDefault="00995730" w:rsidP="007F3D0C">
            <w:pPr>
              <w:pStyle w:val="Zdraznntext"/>
            </w:pPr>
            <w:r w:rsidRPr="00E0461D">
              <w:rPr>
                <w:noProof/>
              </w:rPr>
              <w:drawing>
                <wp:inline distT="0" distB="0" distL="0" distR="0" wp14:anchorId="2CD5220D" wp14:editId="078828F7">
                  <wp:extent cx="152400" cy="1206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DE96E3" w14:textId="60988E8A" w:rsidR="00995730" w:rsidRPr="00E0461D" w:rsidRDefault="00995730" w:rsidP="007F3D0C">
            <w:pPr>
              <w:pStyle w:val="Zdraznntext"/>
            </w:pPr>
            <w:r w:rsidRPr="00923868">
              <w:t xml:space="preserve">U našich </w:t>
            </w:r>
            <w:proofErr w:type="spellStart"/>
            <w:r w:rsidRPr="00923868">
              <w:t>miniprasátek</w:t>
            </w:r>
            <w:proofErr w:type="spellEnd"/>
            <w:r w:rsidRPr="00923868">
              <w:t xml:space="preserve"> jsme prokázali stabilní průměr střevního zúžení přetrvávající po dobu delší než 6 měsíců, vhodný pro vývoj </w:t>
            </w:r>
            <w:r w:rsidR="00F67956">
              <w:t xml:space="preserve">a nácvik </w:t>
            </w:r>
            <w:r w:rsidRPr="00923868">
              <w:t>nových endoskopických technik ošetření</w:t>
            </w:r>
            <w:r>
              <w:t>.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4F38B6" w14:textId="77777777" w:rsidR="00995730" w:rsidRPr="00E0461D" w:rsidRDefault="00995730" w:rsidP="007F3D0C">
            <w:pPr>
              <w:pStyle w:val="Zdraznntext"/>
              <w:jc w:val="right"/>
            </w:pPr>
            <w:r w:rsidRPr="00E0461D">
              <w:rPr>
                <w:noProof/>
              </w:rPr>
              <w:drawing>
                <wp:inline distT="0" distB="0" distL="0" distR="0" wp14:anchorId="0D982FD9" wp14:editId="22706071">
                  <wp:extent cx="152400" cy="1206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D58F19" w14:textId="1B79AC20" w:rsidR="00923868" w:rsidRPr="00923868" w:rsidRDefault="00923868" w:rsidP="00923868">
      <w:r w:rsidRPr="00923868">
        <w:t>Pokročilé endoskopické techniky</w:t>
      </w:r>
      <w:r w:rsidR="0043135D">
        <w:t xml:space="preserve"> </w:t>
      </w:r>
      <w:r w:rsidRPr="00923868">
        <w:t xml:space="preserve">jsou nejvhodnější a nejšetrnější formy následné terapie zúžení střeva jakožto komplikace Crohnovy nemoci. </w:t>
      </w:r>
      <w:r w:rsidR="00F67956">
        <w:t xml:space="preserve">Jejich </w:t>
      </w:r>
      <w:r w:rsidR="00286818">
        <w:t xml:space="preserve">využití však vyžaduje zkušenost a praxi, kterou lze jen obtížně získat na lidských pacientech. </w:t>
      </w:r>
      <w:r w:rsidRPr="00923868">
        <w:t>„</w:t>
      </w:r>
      <w:r w:rsidRPr="00923868">
        <w:rPr>
          <w:i/>
        </w:rPr>
        <w:t xml:space="preserve">U našich </w:t>
      </w:r>
      <w:proofErr w:type="spellStart"/>
      <w:r w:rsidRPr="00923868">
        <w:rPr>
          <w:i/>
        </w:rPr>
        <w:t>miniprasátek</w:t>
      </w:r>
      <w:proofErr w:type="spellEnd"/>
      <w:r w:rsidRPr="00923868">
        <w:rPr>
          <w:i/>
        </w:rPr>
        <w:t xml:space="preserve"> jsme prokázali stabilní průměr střevního zúžení přetrvávající po dobu delší než 6 měsíců, vhodný pro vývoj nových endoskopických technik ošetření nebo trénink endoskopických specialistů humánní medicíny</w:t>
      </w:r>
      <w:r w:rsidR="00FD686B">
        <w:rPr>
          <w:i/>
        </w:rPr>
        <w:t>,</w:t>
      </w:r>
      <w:r w:rsidRPr="00923868">
        <w:rPr>
          <w:i/>
        </w:rPr>
        <w:t>“</w:t>
      </w:r>
      <w:r w:rsidRPr="00923868">
        <w:t xml:space="preserve"> </w:t>
      </w:r>
      <w:r w:rsidR="005009DD">
        <w:t>přibližuje</w:t>
      </w:r>
      <w:r w:rsidR="005009DD" w:rsidRPr="00923868">
        <w:t xml:space="preserve"> </w:t>
      </w:r>
      <w:r w:rsidR="00FD29C6">
        <w:t xml:space="preserve">Martin </w:t>
      </w:r>
      <w:r w:rsidRPr="00923868">
        <w:t xml:space="preserve">Lukáš unikátní možnost využití </w:t>
      </w:r>
      <w:r w:rsidR="00C867E0">
        <w:t>liběchovských</w:t>
      </w:r>
      <w:r w:rsidR="00C867E0" w:rsidRPr="00923868">
        <w:t xml:space="preserve"> </w:t>
      </w:r>
      <w:proofErr w:type="spellStart"/>
      <w:r w:rsidR="007166DC">
        <w:t>miniprasat</w:t>
      </w:r>
      <w:proofErr w:type="spellEnd"/>
      <w:r w:rsidRPr="00923868">
        <w:t xml:space="preserve">. </w:t>
      </w:r>
    </w:p>
    <w:p w14:paraId="27648842" w14:textId="0D3927D6" w:rsidR="005009DD" w:rsidRPr="00F67956" w:rsidRDefault="005009DD" w:rsidP="00923868">
      <w:pPr>
        <w:rPr>
          <w:b/>
        </w:rPr>
      </w:pPr>
      <w:r w:rsidRPr="00F67956">
        <w:rPr>
          <w:b/>
        </w:rPr>
        <w:lastRenderedPageBreak/>
        <w:t xml:space="preserve">Proč zrovna </w:t>
      </w:r>
      <w:proofErr w:type="spellStart"/>
      <w:r w:rsidRPr="00F67956">
        <w:rPr>
          <w:b/>
        </w:rPr>
        <w:t>miniprasata</w:t>
      </w:r>
      <w:proofErr w:type="spellEnd"/>
      <w:r w:rsidRPr="00F67956">
        <w:rPr>
          <w:b/>
        </w:rPr>
        <w:t>?</w:t>
      </w:r>
    </w:p>
    <w:p w14:paraId="272996D0" w14:textId="02038A50" w:rsidR="00923868" w:rsidRDefault="00923868" w:rsidP="00923868">
      <w:pPr>
        <w:pStyle w:val="Normlnweb"/>
        <w:rPr>
          <w:rFonts w:ascii="Motiva Sans" w:hAnsi="Motiva Sans" w:cstheme="minorHAnsi"/>
          <w:sz w:val="20"/>
          <w:szCs w:val="20"/>
        </w:rPr>
      </w:pPr>
      <w:r w:rsidRPr="00923868">
        <w:rPr>
          <w:rFonts w:ascii="Motiva Sans" w:hAnsi="Motiva Sans" w:cstheme="minorHAnsi"/>
          <w:sz w:val="20"/>
          <w:szCs w:val="20"/>
        </w:rPr>
        <w:t>Liběchovská miniaturní prasata jsou fyziologicky a anatomicky člověku mnohem bližší než tradičně užívané malé zvířecí modely</w:t>
      </w:r>
      <w:r w:rsidR="00CC2235">
        <w:rPr>
          <w:rFonts w:ascii="Motiva Sans" w:hAnsi="Motiva Sans" w:cstheme="minorHAnsi"/>
          <w:sz w:val="20"/>
          <w:szCs w:val="20"/>
        </w:rPr>
        <w:t>,</w:t>
      </w:r>
      <w:r w:rsidRPr="00923868">
        <w:rPr>
          <w:rFonts w:ascii="Motiva Sans" w:hAnsi="Motiva Sans" w:cstheme="minorHAnsi"/>
          <w:sz w:val="20"/>
          <w:szCs w:val="20"/>
        </w:rPr>
        <w:t xml:space="preserve"> jako jsou myši a potkani, na kterých </w:t>
      </w:r>
      <w:r w:rsidR="00D030D8">
        <w:rPr>
          <w:rFonts w:ascii="Motiva Sans" w:hAnsi="Motiva Sans" w:cstheme="minorHAnsi"/>
          <w:sz w:val="20"/>
          <w:szCs w:val="20"/>
        </w:rPr>
        <w:t xml:space="preserve">se </w:t>
      </w:r>
      <w:r w:rsidRPr="00923868">
        <w:rPr>
          <w:rFonts w:ascii="Motiva Sans" w:hAnsi="Motiva Sans" w:cstheme="minorHAnsi"/>
          <w:sz w:val="20"/>
          <w:szCs w:val="20"/>
        </w:rPr>
        <w:t>nové léčebné postupy zpravidla test</w:t>
      </w:r>
      <w:r w:rsidR="00801BCE">
        <w:rPr>
          <w:rFonts w:ascii="Motiva Sans" w:hAnsi="Motiva Sans" w:cstheme="minorHAnsi"/>
          <w:sz w:val="20"/>
          <w:szCs w:val="20"/>
        </w:rPr>
        <w:t xml:space="preserve">ují </w:t>
      </w:r>
      <w:r w:rsidRPr="00923868">
        <w:rPr>
          <w:rFonts w:ascii="Motiva Sans" w:hAnsi="Motiva Sans" w:cstheme="minorHAnsi"/>
          <w:sz w:val="20"/>
          <w:szCs w:val="20"/>
        </w:rPr>
        <w:t xml:space="preserve">před klinickými testy na lidských pacientech. Na rozdíl od psů a nehumánních primátů </w:t>
      </w:r>
      <w:r w:rsidR="00801BCE">
        <w:rPr>
          <w:rFonts w:ascii="Motiva Sans" w:hAnsi="Motiva Sans" w:cstheme="minorHAnsi"/>
          <w:sz w:val="20"/>
          <w:szCs w:val="20"/>
        </w:rPr>
        <w:t xml:space="preserve">jsou </w:t>
      </w:r>
      <w:proofErr w:type="spellStart"/>
      <w:r w:rsidRPr="00923868">
        <w:rPr>
          <w:rFonts w:ascii="Motiva Sans" w:hAnsi="Motiva Sans" w:cstheme="minorHAnsi"/>
          <w:sz w:val="20"/>
          <w:szCs w:val="20"/>
        </w:rPr>
        <w:t>miniprasata</w:t>
      </w:r>
      <w:proofErr w:type="spellEnd"/>
      <w:r w:rsidRPr="00923868">
        <w:rPr>
          <w:rFonts w:ascii="Motiva Sans" w:hAnsi="Motiva Sans" w:cstheme="minorHAnsi"/>
          <w:sz w:val="20"/>
          <w:szCs w:val="20"/>
        </w:rPr>
        <w:t xml:space="preserve"> i v současné době akceptovatelnou ekonomickou a etickou variant</w:t>
      </w:r>
      <w:r w:rsidR="00801BCE">
        <w:rPr>
          <w:rFonts w:ascii="Motiva Sans" w:hAnsi="Motiva Sans" w:cstheme="minorHAnsi"/>
          <w:sz w:val="20"/>
          <w:szCs w:val="20"/>
        </w:rPr>
        <w:t>o</w:t>
      </w:r>
      <w:r w:rsidRPr="00923868">
        <w:rPr>
          <w:rFonts w:ascii="Motiva Sans" w:hAnsi="Motiva Sans" w:cstheme="minorHAnsi"/>
          <w:sz w:val="20"/>
          <w:szCs w:val="20"/>
        </w:rPr>
        <w:t xml:space="preserve">u biomedicínského výzkumu, včetně testování nových terapií.  </w:t>
      </w:r>
    </w:p>
    <w:p w14:paraId="2CE94FCA" w14:textId="77777777" w:rsidR="005009DD" w:rsidRDefault="005009DD" w:rsidP="005009DD">
      <w:r w:rsidRPr="00923868">
        <w:t xml:space="preserve">Studie vznikla ve spolupráci se specialisty z klinického a výzkumného centra pro střevní záněty ISCARE a s chirurgy z Všeobecné fakultní nemocnice a Ústřední vojenské nemocnice v Praze a Královské </w:t>
      </w:r>
      <w:proofErr w:type="spellStart"/>
      <w:r w:rsidRPr="00923868">
        <w:t>Lancasterské</w:t>
      </w:r>
      <w:proofErr w:type="spellEnd"/>
      <w:r w:rsidRPr="00923868">
        <w:t xml:space="preserve"> nemocnice ve Velké Británii. </w:t>
      </w:r>
    </w:p>
    <w:p w14:paraId="377E80E3" w14:textId="77777777" w:rsidR="005009DD" w:rsidRPr="00923868" w:rsidRDefault="005009DD" w:rsidP="00923868">
      <w:pPr>
        <w:pStyle w:val="Normlnweb"/>
        <w:rPr>
          <w:rFonts w:ascii="Motiva Sans" w:hAnsi="Motiva Sans" w:cstheme="minorHAnsi"/>
          <w:sz w:val="20"/>
          <w:szCs w:val="20"/>
        </w:rPr>
      </w:pPr>
    </w:p>
    <w:p w14:paraId="23261A00" w14:textId="67E6957F" w:rsidR="00923868" w:rsidRPr="00DF3360" w:rsidRDefault="005009DD" w:rsidP="008B0C81">
      <w:pPr>
        <w:pStyle w:val="Vceinformac"/>
      </w:pPr>
      <w:r>
        <w:t>V</w:t>
      </w:r>
      <w:r w:rsidR="008B0C81">
        <w:t>íce informací</w:t>
      </w:r>
      <w:r w:rsidR="008B0C81" w:rsidRPr="001D7480">
        <w:t>:</w:t>
      </w:r>
      <w:r w:rsidR="00923868">
        <w:tab/>
      </w:r>
      <w:r w:rsidR="00923868" w:rsidRPr="00923868">
        <w:rPr>
          <w:b/>
          <w:bCs/>
        </w:rPr>
        <w:t xml:space="preserve">MVDr. Štefan </w:t>
      </w:r>
      <w:proofErr w:type="spellStart"/>
      <w:r w:rsidR="00923868" w:rsidRPr="00923868">
        <w:rPr>
          <w:b/>
          <w:bCs/>
        </w:rPr>
        <w:t>Juhás</w:t>
      </w:r>
      <w:proofErr w:type="spellEnd"/>
      <w:r w:rsidR="00923868" w:rsidRPr="00923868">
        <w:rPr>
          <w:b/>
          <w:bCs/>
        </w:rPr>
        <w:t>, Ph.D.</w:t>
      </w:r>
      <w:r w:rsidR="00923868">
        <w:br/>
        <w:t>Ústav živočišné fyziologie a genetiky AV ČR</w:t>
      </w:r>
      <w:r w:rsidR="00923868">
        <w:br/>
      </w:r>
      <w:hyperlink r:id="rId14" w:history="1">
        <w:r w:rsidR="00923868" w:rsidRPr="00DF3360">
          <w:rPr>
            <w:rStyle w:val="Hypertextovodkaz"/>
            <w:u w:val="none"/>
          </w:rPr>
          <w:t>juhas@iapg.cas.cz</w:t>
        </w:r>
      </w:hyperlink>
      <w:r w:rsidR="00923868" w:rsidRPr="00DF3360">
        <w:br/>
        <w:t>+420 773 499 014</w:t>
      </w:r>
    </w:p>
    <w:p w14:paraId="20DA5877" w14:textId="32B75E84" w:rsidR="008B0C81" w:rsidRDefault="00923868" w:rsidP="00923868">
      <w:pPr>
        <w:pStyle w:val="Vceinformac"/>
        <w:ind w:firstLine="0"/>
      </w:pPr>
      <w:r w:rsidRPr="00DF3360">
        <w:rPr>
          <w:b/>
        </w:rPr>
        <w:t>MUDr. Martin Lukáš</w:t>
      </w:r>
      <w:r w:rsidR="008B0C81" w:rsidRPr="00DF3360">
        <w:br/>
      </w:r>
      <w:r w:rsidR="00995730">
        <w:t>Ústav živočišné fyziologie a genetiky AV ČR</w:t>
      </w:r>
      <w:r w:rsidR="00995730" w:rsidRPr="00DF3360">
        <w:t xml:space="preserve"> </w:t>
      </w:r>
      <w:r w:rsidR="00995730">
        <w:br/>
        <w:t xml:space="preserve">a </w:t>
      </w:r>
      <w:r w:rsidRPr="00DF3360">
        <w:t>Klinické centrum ISCARE</w:t>
      </w:r>
      <w:r w:rsidR="008B0C81" w:rsidRPr="00DF3360">
        <w:br/>
      </w:r>
      <w:hyperlink r:id="rId15" w:history="1">
        <w:r w:rsidRPr="00DF3360">
          <w:rPr>
            <w:rStyle w:val="Hypertextovodkaz"/>
            <w:u w:val="none"/>
          </w:rPr>
          <w:t>lukasm@iscare.cz</w:t>
        </w:r>
      </w:hyperlink>
      <w:r w:rsidR="008B0C81">
        <w:br/>
      </w:r>
      <w:r w:rsidR="008B0C81" w:rsidRPr="001D7480">
        <w:t xml:space="preserve">+420 </w:t>
      </w:r>
      <w:r w:rsidRPr="00923868">
        <w:t>733 114 200</w:t>
      </w:r>
      <w:r w:rsidR="008B0C81">
        <w:br/>
      </w:r>
    </w:p>
    <w:p w14:paraId="73809B14" w14:textId="237E37F7" w:rsidR="008B0C81" w:rsidRPr="00807800" w:rsidRDefault="00807800" w:rsidP="008B0C81">
      <w:pPr>
        <w:pStyle w:val="Vceinformac"/>
      </w:pPr>
      <w:r>
        <w:rPr>
          <w:b/>
          <w:bCs/>
        </w:rPr>
        <w:t>Fotografie</w:t>
      </w:r>
      <w:r w:rsidRPr="00807800">
        <w:t xml:space="preserve"> v lepší kvalitě ke stažení </w:t>
      </w:r>
      <w:hyperlink r:id="rId16" w:history="1">
        <w:r w:rsidRPr="00F93C05">
          <w:rPr>
            <w:rStyle w:val="Hypertextovodkaz"/>
          </w:rPr>
          <w:t>zde</w:t>
        </w:r>
      </w:hyperlink>
      <w:r w:rsidRPr="00807800">
        <w:t>.</w:t>
      </w:r>
    </w:p>
    <w:p w14:paraId="3193F334" w14:textId="346BB564" w:rsidR="00923868" w:rsidRDefault="00923868" w:rsidP="008B0C81">
      <w:pPr>
        <w:pStyle w:val="Vceinformac"/>
      </w:pPr>
      <w:r w:rsidRPr="001F41C5">
        <w:rPr>
          <w:b/>
          <w:bCs/>
        </w:rPr>
        <w:t>Publikace</w:t>
      </w:r>
      <w:r>
        <w:t xml:space="preserve"> online přístup </w:t>
      </w:r>
      <w:hyperlink r:id="rId17" w:history="1">
        <w:r w:rsidRPr="00923868">
          <w:rPr>
            <w:rStyle w:val="Hypertextovodkaz"/>
          </w:rPr>
          <w:t>zde</w:t>
        </w:r>
      </w:hyperlink>
      <w:r>
        <w:t>.</w:t>
      </w:r>
    </w:p>
    <w:p w14:paraId="231A8A5B" w14:textId="7525479D" w:rsidR="008779EE" w:rsidRDefault="008779EE" w:rsidP="008B0C81">
      <w:pPr>
        <w:pStyle w:val="Vceinformac"/>
      </w:pPr>
      <w:r>
        <w:rPr>
          <w:b/>
          <w:bCs/>
        </w:rPr>
        <w:t>Video</w:t>
      </w:r>
      <w:r w:rsidR="00CD4852">
        <w:rPr>
          <w:b/>
          <w:bCs/>
        </w:rPr>
        <w:t>:</w:t>
      </w:r>
      <w:r w:rsidRPr="00CD4852">
        <w:t xml:space="preserve"> krátké video </w:t>
      </w:r>
      <w:hyperlink r:id="rId18" w:history="1">
        <w:r w:rsidRPr="00CD4852">
          <w:rPr>
            <w:rStyle w:val="Hypertextovodkaz"/>
          </w:rPr>
          <w:t>zde</w:t>
        </w:r>
      </w:hyperlink>
      <w:r w:rsidRPr="00CD4852">
        <w:t>, v případě zájmu existuje i delší sekvence</w:t>
      </w:r>
      <w:r w:rsidR="00CD4852" w:rsidRPr="00CD4852">
        <w:t>.</w:t>
      </w:r>
    </w:p>
    <w:p w14:paraId="1AF2325E" w14:textId="5882FB57" w:rsidR="005009DD" w:rsidRDefault="005009DD" w:rsidP="008B0C81">
      <w:pPr>
        <w:pStyle w:val="Vceinformac"/>
      </w:pPr>
    </w:p>
    <w:p w14:paraId="4537903D" w14:textId="450B07FF" w:rsidR="005009DD" w:rsidRPr="00F67956" w:rsidRDefault="005009DD" w:rsidP="005009DD">
      <w:pPr>
        <w:rPr>
          <w:sz w:val="18"/>
          <w:szCs w:val="18"/>
        </w:rPr>
      </w:pPr>
      <w:r w:rsidRPr="00F67956">
        <w:rPr>
          <w:b/>
          <w:sz w:val="18"/>
          <w:szCs w:val="18"/>
        </w:rPr>
        <w:t>Crohnova choroba</w:t>
      </w:r>
      <w:r w:rsidRPr="00F67956">
        <w:rPr>
          <w:sz w:val="18"/>
          <w:szCs w:val="18"/>
        </w:rPr>
        <w:t xml:space="preserve"> je poměrně časté autoimunitní onemocnění postihující v ČR 200–250 pacientů na 100 000 lidí. Projevuje se chronickým zánětem postihujícím kteroukoli část trávicí trubice od jícnu až po konečník. Nemoc se objevuje velmi často již u mladých pacientů mezi 20.–30. rokem a přetrvává po celý život. Možnosti léčby jsou omezené, většinou slouží pouze k potlačení zánětlivých projevů choroby. Příčiny ani prevence choroby nejsou dosud zcela objasněny, avšak její projevy významně ztěžují pacientům plnohodnotný život a mohou vést až k</w:t>
      </w:r>
      <w:r>
        <w:rPr>
          <w:sz w:val="18"/>
          <w:szCs w:val="18"/>
        </w:rPr>
        <w:t> </w:t>
      </w:r>
      <w:r w:rsidRPr="00F67956">
        <w:rPr>
          <w:sz w:val="18"/>
          <w:szCs w:val="18"/>
        </w:rPr>
        <w:t>částečné nebo trvalé invaliditě. Patří mezi civilizační choroby.</w:t>
      </w:r>
    </w:p>
    <w:p w14:paraId="7FA5429B" w14:textId="533E9EB2" w:rsidR="005009DD" w:rsidRPr="0043135D" w:rsidRDefault="005009DD" w:rsidP="00286818">
      <w:pPr>
        <w:rPr>
          <w:sz w:val="18"/>
          <w:szCs w:val="18"/>
        </w:rPr>
      </w:pPr>
      <w:r w:rsidRPr="0043135D">
        <w:rPr>
          <w:b/>
          <w:sz w:val="18"/>
          <w:szCs w:val="18"/>
        </w:rPr>
        <w:t>Endoskopické techniky</w:t>
      </w:r>
      <w:r w:rsidRPr="0043135D">
        <w:rPr>
          <w:sz w:val="18"/>
          <w:szCs w:val="18"/>
        </w:rPr>
        <w:t xml:space="preserve"> zahrnují lékařské přístupy využívající flexibilní trubici vybavenou kamerou, která umožní přímé zobrazení dutých vnitřních orgánů bez nutnosti chirurgických řezů. Endoskop se zavádí do vyústění přirozeného tělního otvoru</w:t>
      </w:r>
      <w:r w:rsidR="00801BCE">
        <w:rPr>
          <w:sz w:val="18"/>
          <w:szCs w:val="18"/>
        </w:rPr>
        <w:t>,</w:t>
      </w:r>
      <w:r w:rsidRPr="0043135D">
        <w:rPr>
          <w:sz w:val="18"/>
          <w:szCs w:val="18"/>
        </w:rPr>
        <w:t xml:space="preserve"> například úst či konečníku, a představuje tak ideální alternativu rozsáhlých chirurgických výkonů.</w:t>
      </w:r>
      <w:r w:rsidR="00286818" w:rsidRPr="0043135D">
        <w:rPr>
          <w:sz w:val="18"/>
          <w:szCs w:val="18"/>
        </w:rPr>
        <w:t xml:space="preserve"> </w:t>
      </w:r>
      <w:r w:rsidR="0043135D" w:rsidRPr="0043135D">
        <w:rPr>
          <w:sz w:val="18"/>
          <w:szCs w:val="18"/>
        </w:rPr>
        <w:t>Nejmodernější postupy jako</w:t>
      </w:r>
      <w:r w:rsidR="00286818" w:rsidRPr="0043135D">
        <w:rPr>
          <w:sz w:val="18"/>
          <w:szCs w:val="18"/>
        </w:rPr>
        <w:t xml:space="preserve"> endoskopická bal</w:t>
      </w:r>
      <w:r w:rsidR="00801BCE">
        <w:rPr>
          <w:sz w:val="18"/>
          <w:szCs w:val="18"/>
        </w:rPr>
        <w:t>o</w:t>
      </w:r>
      <w:r w:rsidR="00286818" w:rsidRPr="0043135D">
        <w:rPr>
          <w:sz w:val="18"/>
          <w:szCs w:val="18"/>
        </w:rPr>
        <w:t xml:space="preserve">nová dilatace, endoskopická </w:t>
      </w:r>
      <w:proofErr w:type="spellStart"/>
      <w:r w:rsidR="00286818" w:rsidRPr="0043135D">
        <w:rPr>
          <w:sz w:val="18"/>
          <w:szCs w:val="18"/>
        </w:rPr>
        <w:t>strikturotomie</w:t>
      </w:r>
      <w:proofErr w:type="spellEnd"/>
      <w:r w:rsidR="00286818" w:rsidRPr="0043135D">
        <w:rPr>
          <w:sz w:val="18"/>
          <w:szCs w:val="18"/>
        </w:rPr>
        <w:t xml:space="preserve"> anebo zavádění krátkodobých kovových protéz</w:t>
      </w:r>
      <w:r w:rsidR="0043135D" w:rsidRPr="0043135D">
        <w:rPr>
          <w:sz w:val="18"/>
          <w:szCs w:val="18"/>
        </w:rPr>
        <w:t xml:space="preserve"> vyžadují vysokou</w:t>
      </w:r>
      <w:r w:rsidR="00286818" w:rsidRPr="0043135D">
        <w:rPr>
          <w:sz w:val="18"/>
          <w:szCs w:val="18"/>
        </w:rPr>
        <w:t xml:space="preserve"> přesnost a zkušenost operatéra, minimalizující potenciální rizika dalšího poranění stěny trávicí trubice při samotném zákroku. </w:t>
      </w:r>
    </w:p>
    <w:p w14:paraId="33F1257A" w14:textId="77777777" w:rsidR="005009DD" w:rsidRDefault="005009DD" w:rsidP="008B0C81">
      <w:pPr>
        <w:pStyle w:val="Vceinformac"/>
      </w:pPr>
    </w:p>
    <w:p w14:paraId="27CA43E8" w14:textId="77777777" w:rsidR="008B0C81" w:rsidRDefault="008B0C81" w:rsidP="008B0C81">
      <w:r>
        <w:br w:type="page"/>
      </w:r>
    </w:p>
    <w:p w14:paraId="159BD5A7" w14:textId="77777777" w:rsidR="008B0C81" w:rsidRDefault="008B0C81" w:rsidP="008B0C81">
      <w:pPr>
        <w:pStyle w:val="Nadpis2"/>
        <w:rPr>
          <w:bCs/>
          <w:color w:val="0974BD"/>
          <w:sz w:val="18"/>
        </w:rPr>
      </w:pPr>
      <w:r>
        <w:lastRenderedPageBreak/>
        <w:t>Fotogalerie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727"/>
        <w:gridCol w:w="3329"/>
      </w:tblGrid>
      <w:tr w:rsidR="000C23E6" w14:paraId="2D12A80C" w14:textId="4399BBA0" w:rsidTr="00F67956">
        <w:tc>
          <w:tcPr>
            <w:tcW w:w="4389" w:type="dxa"/>
            <w:tcMar>
              <w:left w:w="0" w:type="dxa"/>
              <w:right w:w="0" w:type="dxa"/>
            </w:tcMar>
          </w:tcPr>
          <w:p w14:paraId="65A020C5" w14:textId="77777777" w:rsidR="000C23E6" w:rsidRDefault="000C23E6" w:rsidP="00803B4E">
            <w:pPr>
              <w:pStyle w:val="Obrzekpopisek"/>
            </w:pPr>
            <w:r>
              <w:rPr>
                <w:noProof/>
                <w:sz w:val="20"/>
              </w:rPr>
              <w:drawing>
                <wp:inline distT="0" distB="0" distL="0" distR="0" wp14:anchorId="536EE458" wp14:editId="47C822FA">
                  <wp:extent cx="2714158" cy="2035619"/>
                  <wp:effectExtent l="0" t="0" r="0" b="317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. 1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82" cy="2066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>
              <w:t>Miniaturní prasata jsou ideální zvířecí modely pro vývoj a testování nových léčebných postupů.</w:t>
            </w:r>
            <w:r>
              <w:br/>
              <w:t>FOTO: M. Lukáš</w:t>
            </w:r>
          </w:p>
          <w:p w14:paraId="16602E41" w14:textId="0DC1F9FD" w:rsidR="000C23E6" w:rsidRPr="00F67956" w:rsidRDefault="000C23E6" w:rsidP="00803B4E">
            <w:pPr>
              <w:pStyle w:val="Obrzekpopisek"/>
            </w:pPr>
          </w:p>
        </w:tc>
        <w:tc>
          <w:tcPr>
            <w:tcW w:w="3964" w:type="dxa"/>
            <w:gridSpan w:val="2"/>
          </w:tcPr>
          <w:p w14:paraId="75F7A1E0" w14:textId="61AFF962" w:rsidR="000C23E6" w:rsidRDefault="000C23E6" w:rsidP="00803B4E">
            <w:pPr>
              <w:pStyle w:val="Obrzekpopisek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FF10F3" wp14:editId="4FD5C275">
                  <wp:extent cx="2436489" cy="2035175"/>
                  <wp:effectExtent l="0" t="0" r="2540" b="317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 3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211"/>
                          <a:stretch/>
                        </pic:blipFill>
                        <pic:spPr bwMode="auto">
                          <a:xfrm>
                            <a:off x="0" y="0"/>
                            <a:ext cx="2475742" cy="2067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BFB420" w14:textId="32D363C2" w:rsidR="000C23E6" w:rsidRDefault="000C23E6" w:rsidP="00803B4E">
            <w:pPr>
              <w:pStyle w:val="Obrzekpopisek"/>
              <w:rPr>
                <w:noProof/>
                <w:sz w:val="20"/>
              </w:rPr>
            </w:pPr>
            <w:r>
              <w:t xml:space="preserve">Endoskopický zákrok na </w:t>
            </w:r>
            <w:proofErr w:type="spellStart"/>
            <w:r>
              <w:t>minipraseti</w:t>
            </w:r>
            <w:proofErr w:type="spellEnd"/>
            <w:r>
              <w:br/>
              <w:t>FOTO: M. Lukáš</w:t>
            </w:r>
          </w:p>
        </w:tc>
      </w:tr>
      <w:tr w:rsidR="00F20514" w14:paraId="7913773F" w14:textId="77777777" w:rsidTr="00F67956">
        <w:trPr>
          <w:gridAfter w:val="1"/>
          <w:wAfter w:w="3265" w:type="dxa"/>
        </w:trPr>
        <w:tc>
          <w:tcPr>
            <w:tcW w:w="5098" w:type="dxa"/>
            <w:gridSpan w:val="2"/>
            <w:tcMar>
              <w:left w:w="0" w:type="dxa"/>
              <w:right w:w="0" w:type="dxa"/>
            </w:tcMar>
          </w:tcPr>
          <w:p w14:paraId="10D44016" w14:textId="0043802C" w:rsidR="00F20514" w:rsidRDefault="005009DD" w:rsidP="00F41234">
            <w:pPr>
              <w:pStyle w:val="Obrzekpopisek"/>
              <w:rPr>
                <w:sz w:val="20"/>
              </w:rPr>
            </w:pPr>
            <w:r>
              <w:br/>
            </w:r>
            <w:r>
              <w:rPr>
                <w:noProof/>
                <w:sz w:val="20"/>
              </w:rPr>
              <w:drawing>
                <wp:inline distT="0" distB="0" distL="0" distR="0" wp14:anchorId="5336CBF9" wp14:editId="7D2976C8">
                  <wp:extent cx="3172014" cy="2379010"/>
                  <wp:effectExtent l="0" t="0" r="0" b="254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. 2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307" cy="2397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>
              <w:t>Endoskopická fotografie vytvořené zúženiny na střevu prasečího modelu po aplikací směsi</w:t>
            </w:r>
            <w:r w:rsidR="00023F5E">
              <w:t>, jež</w:t>
            </w:r>
            <w:r>
              <w:t xml:space="preserve"> zmenšuj</w:t>
            </w:r>
            <w:r w:rsidR="00023F5E">
              <w:t xml:space="preserve">e </w:t>
            </w:r>
            <w:r>
              <w:t>průměr trávicí trubice</w:t>
            </w:r>
            <w:r w:rsidR="000C23E6">
              <w:br/>
            </w:r>
            <w:r>
              <w:t>a simuluj</w:t>
            </w:r>
            <w:r w:rsidR="00023F5E">
              <w:t>e tak</w:t>
            </w:r>
            <w:r>
              <w:t xml:space="preserve"> komplikaci při Crohnově chorobě.</w:t>
            </w:r>
            <w:r>
              <w:br/>
              <w:t>FOTO: M. Lukáš</w:t>
            </w:r>
          </w:p>
        </w:tc>
      </w:tr>
    </w:tbl>
    <w:p w14:paraId="432F04E4" w14:textId="77777777" w:rsidR="008B0C81" w:rsidRDefault="008B0C81" w:rsidP="008B0C81">
      <w:pPr>
        <w:pStyle w:val="Normlnweb"/>
      </w:pPr>
    </w:p>
    <w:p w14:paraId="7DDB86C0" w14:textId="77777777" w:rsidR="008B0C81" w:rsidRPr="001D7480" w:rsidRDefault="008B0C81" w:rsidP="008B0C81">
      <w:pPr>
        <w:pStyle w:val="Normlnweb"/>
      </w:pPr>
    </w:p>
    <w:p w14:paraId="6AE1AC09" w14:textId="77777777" w:rsidR="00EB7383" w:rsidRDefault="00EB7383"/>
    <w:sectPr w:rsidR="00EB7383" w:rsidSect="0071586E">
      <w:footerReference w:type="default" r:id="rId22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F9DDB" w14:textId="77777777" w:rsidR="00790431" w:rsidRDefault="00790431">
      <w:pPr>
        <w:spacing w:before="0" w:after="0"/>
      </w:pPr>
      <w:r>
        <w:separator/>
      </w:r>
    </w:p>
  </w:endnote>
  <w:endnote w:type="continuationSeparator" w:id="0">
    <w:p w14:paraId="28AEB8B9" w14:textId="77777777" w:rsidR="00790431" w:rsidRDefault="007904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195AA" w14:textId="188FFDC0" w:rsidR="00A7467B" w:rsidRPr="00301D45" w:rsidRDefault="008B0C81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Pr="00301D45">
      <w:rPr>
        <w:b/>
      </w:rPr>
      <w:t>Markéta Růžičková</w:t>
    </w:r>
    <w:r w:rsidRPr="006B02B7">
      <w:t xml:space="preserve"> </w:t>
    </w:r>
    <w:r w:rsidRPr="006B02B7">
      <w:tab/>
    </w:r>
    <w:r w:rsidR="00923868" w:rsidRPr="00923868">
      <w:rPr>
        <w:b/>
      </w:rPr>
      <w:t xml:space="preserve">Barbora </w:t>
    </w:r>
    <w:proofErr w:type="spellStart"/>
    <w:r w:rsidR="00923868" w:rsidRPr="00923868">
      <w:rPr>
        <w:b/>
      </w:rPr>
      <w:t>Vošlajerová</w:t>
    </w:r>
    <w:proofErr w:type="spellEnd"/>
  </w:p>
  <w:p w14:paraId="60076828" w14:textId="53A1E7A7" w:rsidR="00A7467B" w:rsidRPr="006B02B7" w:rsidRDefault="008B0C81" w:rsidP="00301D45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  <w:t xml:space="preserve">Ústav </w:t>
    </w:r>
    <w:r w:rsidR="00923868">
      <w:t>živočišné fyziologie a genetiky AV ČR</w:t>
    </w:r>
  </w:p>
  <w:p w14:paraId="1733B8BA" w14:textId="11EBFAC8" w:rsidR="00A7467B" w:rsidRPr="00923868" w:rsidRDefault="008B0C81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 w:rsidR="006A0C95">
      <w:t>avcr.cz</w:t>
    </w:r>
    <w:r w:rsidRPr="006B02B7">
      <w:tab/>
    </w:r>
    <w:hyperlink r:id="rId1" w:history="1">
      <w:r w:rsidR="00923868" w:rsidRPr="00923868">
        <w:rPr>
          <w:rStyle w:val="Hypertextovodkaz"/>
          <w:u w:val="none"/>
        </w:rPr>
        <w:t>voslajerova@iapg.cas.cz</w:t>
      </w:r>
    </w:hyperlink>
  </w:p>
  <w:p w14:paraId="36426427" w14:textId="23B20A8F" w:rsidR="00D84411" w:rsidRPr="00301D45" w:rsidRDefault="008B0C81" w:rsidP="00301D45">
    <w:pPr>
      <w:pStyle w:val="Kontakt"/>
    </w:pPr>
    <w:r w:rsidRPr="00923868">
      <w:tab/>
    </w:r>
    <w:r w:rsidRPr="00923868">
      <w:tab/>
      <w:t>+420</w:t>
    </w:r>
    <w:r w:rsidRPr="00923868">
      <w:rPr>
        <w:rFonts w:ascii="Cambria" w:hAnsi="Cambria" w:cs="Cambria"/>
      </w:rPr>
      <w:t> </w:t>
    </w:r>
    <w:r w:rsidRPr="00923868">
      <w:t>777</w:t>
    </w:r>
    <w:r w:rsidR="00923868" w:rsidRPr="00923868">
      <w:t> </w:t>
    </w:r>
    <w:r w:rsidRPr="00923868">
      <w:t>970</w:t>
    </w:r>
    <w:r w:rsidR="00923868" w:rsidRPr="00923868">
      <w:t xml:space="preserve"> </w:t>
    </w:r>
    <w:r w:rsidRPr="00923868">
      <w:t>812</w:t>
    </w:r>
    <w:r w:rsidRPr="00923868">
      <w:tab/>
    </w:r>
    <w:r w:rsidR="00923868" w:rsidRPr="00923868">
      <w:t>+420 608 242 415</w:t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="008779EE">
      <w:rPr>
        <w:noProof/>
      </w:rPr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675A" w14:textId="75EB3A63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="008779EE">
      <w:rPr>
        <w:noProof/>
      </w:rPr>
      <w:t>3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6A97A" w14:textId="77777777" w:rsidR="00790431" w:rsidRDefault="00790431">
      <w:pPr>
        <w:spacing w:before="0" w:after="0"/>
      </w:pPr>
      <w:r>
        <w:separator/>
      </w:r>
    </w:p>
  </w:footnote>
  <w:footnote w:type="continuationSeparator" w:id="0">
    <w:p w14:paraId="027A5A9A" w14:textId="77777777" w:rsidR="00790431" w:rsidRDefault="0079043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81"/>
    <w:rsid w:val="00004784"/>
    <w:rsid w:val="00023F5E"/>
    <w:rsid w:val="000C23E6"/>
    <w:rsid w:val="00121DDC"/>
    <w:rsid w:val="00140488"/>
    <w:rsid w:val="00157B18"/>
    <w:rsid w:val="001F41C5"/>
    <w:rsid w:val="002042D0"/>
    <w:rsid w:val="002218D1"/>
    <w:rsid w:val="00286818"/>
    <w:rsid w:val="002A4FA9"/>
    <w:rsid w:val="0032565F"/>
    <w:rsid w:val="003671CD"/>
    <w:rsid w:val="00385950"/>
    <w:rsid w:val="003A48B1"/>
    <w:rsid w:val="003B65AE"/>
    <w:rsid w:val="003D204E"/>
    <w:rsid w:val="003F4BA2"/>
    <w:rsid w:val="00425A06"/>
    <w:rsid w:val="0043135D"/>
    <w:rsid w:val="00470091"/>
    <w:rsid w:val="004A5967"/>
    <w:rsid w:val="004C28B1"/>
    <w:rsid w:val="004E6044"/>
    <w:rsid w:val="005009DD"/>
    <w:rsid w:val="0051291C"/>
    <w:rsid w:val="00524F76"/>
    <w:rsid w:val="0053529A"/>
    <w:rsid w:val="005806D8"/>
    <w:rsid w:val="00581BE5"/>
    <w:rsid w:val="00661824"/>
    <w:rsid w:val="006A0C95"/>
    <w:rsid w:val="006A4CCE"/>
    <w:rsid w:val="006C1DDA"/>
    <w:rsid w:val="007166DC"/>
    <w:rsid w:val="007636B6"/>
    <w:rsid w:val="00790431"/>
    <w:rsid w:val="007D274B"/>
    <w:rsid w:val="00801BCE"/>
    <w:rsid w:val="00807800"/>
    <w:rsid w:val="00817C7E"/>
    <w:rsid w:val="008633BE"/>
    <w:rsid w:val="008779EE"/>
    <w:rsid w:val="00890AD5"/>
    <w:rsid w:val="008A1807"/>
    <w:rsid w:val="008B0C81"/>
    <w:rsid w:val="008B5E04"/>
    <w:rsid w:val="008E650C"/>
    <w:rsid w:val="00923868"/>
    <w:rsid w:val="0092797E"/>
    <w:rsid w:val="00943CF9"/>
    <w:rsid w:val="009524CC"/>
    <w:rsid w:val="00993810"/>
    <w:rsid w:val="00995730"/>
    <w:rsid w:val="009A21D1"/>
    <w:rsid w:val="009B2554"/>
    <w:rsid w:val="009C5322"/>
    <w:rsid w:val="00A12212"/>
    <w:rsid w:val="00A36CD2"/>
    <w:rsid w:val="00A417DA"/>
    <w:rsid w:val="00A93C2F"/>
    <w:rsid w:val="00AC4F38"/>
    <w:rsid w:val="00C63D6A"/>
    <w:rsid w:val="00C80B22"/>
    <w:rsid w:val="00C867E0"/>
    <w:rsid w:val="00CC2235"/>
    <w:rsid w:val="00CD4852"/>
    <w:rsid w:val="00D030D8"/>
    <w:rsid w:val="00D22178"/>
    <w:rsid w:val="00D368EF"/>
    <w:rsid w:val="00DE3F29"/>
    <w:rsid w:val="00DF3360"/>
    <w:rsid w:val="00E91C79"/>
    <w:rsid w:val="00EA63AE"/>
    <w:rsid w:val="00EB7383"/>
    <w:rsid w:val="00EC20C2"/>
    <w:rsid w:val="00F20514"/>
    <w:rsid w:val="00F41234"/>
    <w:rsid w:val="00F67956"/>
    <w:rsid w:val="00F930CE"/>
    <w:rsid w:val="00F93C05"/>
    <w:rsid w:val="00FA4FD8"/>
    <w:rsid w:val="00FD29C6"/>
    <w:rsid w:val="00F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E34C50"/>
  <w15:chartTrackingRefBased/>
  <w15:docId w15:val="{33D56BE6-2C36-4984-92FA-BC6B8E2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0C81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386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386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009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09D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09DD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09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09DD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9D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9DD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D4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yperlink" Target="http://www.uschovna.cz/zasilka/HSY79PZL6AU825FM-FUW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JPG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yperlink" Target="https://reader.elsevier.com/reader/sd/pii/S0016510720344217?token=F4C98A30A285F3707048AC08E70CE72A6BC20F81D31DAE230D88E9362D2DE22948E0127871B307A309579025642B21C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loz.to/tamhle/cKOmX86cfVtE" TargetMode="External"/><Relationship Id="rId20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lukasm@iscare.cz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5.jp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mailto:juhas@iapg.cas.cz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slajerova@iapg.c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A1A289-3B0E-4819-AF75-98859ACE4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39AB6-62DC-4E64-8A5A-757C36217953}">
  <ds:schemaRefs>
    <ds:schemaRef ds:uri="http://schemas.microsoft.com/office/infopath/2007/PartnerControls"/>
    <ds:schemaRef ds:uri="ec94cc93-81be-401c-abc3-e93253b1d124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b96f7a21-1047-42d4-8cb0-ea7ebf058f9f"/>
  </ds:schemaRefs>
</ds:datastoreItem>
</file>

<file path=customXml/itemProps3.xml><?xml version="1.0" encoding="utf-8"?>
<ds:datastoreItem xmlns:ds="http://schemas.openxmlformats.org/officeDocument/2006/customXml" ds:itemID="{ADF7D475-F178-46F5-A52E-14A8D46F15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Růžičková Markéta</cp:lastModifiedBy>
  <cp:revision>2</cp:revision>
  <dcterms:created xsi:type="dcterms:W3CDTF">2021-02-09T07:03:00Z</dcterms:created>
  <dcterms:modified xsi:type="dcterms:W3CDTF">2021-02-09T07:03:00Z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