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7B2E" w14:textId="3CB891D1" w:rsidR="00B4656B" w:rsidRDefault="00B4656B" w:rsidP="004850C5">
      <w:bookmarkStart w:id="0" w:name="_GoBack"/>
      <w:bookmarkEnd w:id="0"/>
    </w:p>
    <w:p w14:paraId="0FBEC24A" w14:textId="24304FAD" w:rsidR="00FC10B9" w:rsidRDefault="00FC10B9" w:rsidP="004850C5"/>
    <w:p w14:paraId="6C6D5B90" w14:textId="3A5E9A99" w:rsidR="00FC10B9" w:rsidRDefault="00FC10B9" w:rsidP="004850C5"/>
    <w:p w14:paraId="5A5DC003" w14:textId="77777777" w:rsidR="00FC10B9" w:rsidRDefault="00FC10B9" w:rsidP="004850C5"/>
    <w:p w14:paraId="2AB2D94C" w14:textId="188CC2E9" w:rsidR="00FC10B9" w:rsidRDefault="00B61C2D" w:rsidP="00FC10B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52"/>
          <w:szCs w:val="52"/>
          <w:lang w:val="cs-CZ"/>
        </w:rPr>
      </w:pPr>
      <w:r>
        <w:rPr>
          <w:rFonts w:ascii="CIDFont+F1" w:hAnsi="CIDFont+F1" w:cs="CIDFont+F1"/>
          <w:color w:val="0563C2"/>
          <w:sz w:val="52"/>
          <w:szCs w:val="52"/>
          <w:lang w:val="cs-CZ"/>
        </w:rPr>
        <w:t>Ústav živočišné fyziologie a genetiky AV ČR</w:t>
      </w:r>
    </w:p>
    <w:p w14:paraId="4B25C18F" w14:textId="77777777" w:rsidR="00FC10B9" w:rsidRDefault="00FC10B9" w:rsidP="00FC10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E79"/>
          <w:sz w:val="48"/>
          <w:szCs w:val="48"/>
          <w:lang w:val="cs-CZ"/>
        </w:rPr>
      </w:pPr>
    </w:p>
    <w:p w14:paraId="6E1EF5F9" w14:textId="77777777" w:rsidR="00FC10B9" w:rsidRDefault="00FC10B9" w:rsidP="00FC10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E79"/>
          <w:sz w:val="48"/>
          <w:szCs w:val="48"/>
          <w:lang w:val="cs-CZ"/>
        </w:rPr>
      </w:pPr>
    </w:p>
    <w:p w14:paraId="0D7D2BAD" w14:textId="77777777" w:rsidR="00FC10B9" w:rsidRDefault="00FC10B9" w:rsidP="00FC10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E79"/>
          <w:sz w:val="48"/>
          <w:szCs w:val="48"/>
          <w:lang w:val="cs-CZ"/>
        </w:rPr>
      </w:pPr>
    </w:p>
    <w:p w14:paraId="4C709C16" w14:textId="77777777" w:rsidR="00FC10B9" w:rsidRDefault="00FC10B9" w:rsidP="00FC10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E79"/>
          <w:sz w:val="48"/>
          <w:szCs w:val="48"/>
          <w:lang w:val="cs-CZ"/>
        </w:rPr>
      </w:pPr>
    </w:p>
    <w:p w14:paraId="5718450C" w14:textId="30DAEDC2" w:rsidR="00FC10B9" w:rsidRDefault="00FC10B9" w:rsidP="00FC10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E79"/>
          <w:sz w:val="48"/>
          <w:szCs w:val="48"/>
          <w:lang w:val="cs-CZ"/>
        </w:rPr>
      </w:pPr>
    </w:p>
    <w:p w14:paraId="7B9921F4" w14:textId="77777777" w:rsidR="00FC10B9" w:rsidRPr="00B61C2D" w:rsidRDefault="00FC10B9" w:rsidP="00FC10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1F4E79"/>
          <w:sz w:val="48"/>
          <w:szCs w:val="48"/>
          <w:lang w:val="cs-CZ"/>
        </w:rPr>
      </w:pPr>
    </w:p>
    <w:p w14:paraId="2A46EF9C" w14:textId="3A708E7B" w:rsidR="00FC10B9" w:rsidRPr="00B61C2D" w:rsidRDefault="00FC10B9" w:rsidP="00FC10B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1F4E79"/>
          <w:sz w:val="48"/>
          <w:szCs w:val="48"/>
          <w:lang w:val="cs-CZ"/>
        </w:rPr>
      </w:pPr>
      <w:r w:rsidRPr="00B61C2D">
        <w:rPr>
          <w:rFonts w:ascii="CIDFont+F2" w:hAnsi="CIDFont+F2" w:cs="CIDFont+F2"/>
          <w:b/>
          <w:color w:val="1F4E79"/>
          <w:sz w:val="48"/>
          <w:szCs w:val="48"/>
          <w:lang w:val="cs-CZ"/>
        </w:rPr>
        <w:t>A</w:t>
      </w:r>
      <w:r w:rsidR="00B61C2D">
        <w:rPr>
          <w:rFonts w:ascii="CIDFont+F2" w:hAnsi="CIDFont+F2" w:cs="CIDFont+F2"/>
          <w:b/>
          <w:color w:val="1F4E79"/>
          <w:sz w:val="48"/>
          <w:szCs w:val="48"/>
          <w:lang w:val="cs-CZ"/>
        </w:rPr>
        <w:t>KČNÍ PLÁN</w:t>
      </w:r>
    </w:p>
    <w:p w14:paraId="31329E6D" w14:textId="31552CE9" w:rsidR="00FC10B9" w:rsidRPr="00B61C2D" w:rsidRDefault="00FC10B9" w:rsidP="00FC10B9">
      <w:pPr>
        <w:rPr>
          <w:b/>
        </w:rPr>
      </w:pPr>
      <w:r w:rsidRPr="00B61C2D">
        <w:rPr>
          <w:rFonts w:ascii="CIDFont+F2" w:hAnsi="CIDFont+F2" w:cs="CIDFont+F2"/>
          <w:b/>
          <w:color w:val="1F4E79"/>
          <w:sz w:val="48"/>
          <w:szCs w:val="48"/>
          <w:lang w:val="cs-CZ"/>
        </w:rPr>
        <w:t>HR EXCELLENCE IN RESEARCH</w:t>
      </w:r>
      <w:r w:rsidR="00B61C2D">
        <w:rPr>
          <w:rFonts w:ascii="CIDFont+F2" w:hAnsi="CIDFont+F2" w:cs="CIDFont+F2"/>
          <w:b/>
          <w:color w:val="1F4E79"/>
          <w:sz w:val="48"/>
          <w:szCs w:val="48"/>
          <w:lang w:val="cs-CZ"/>
        </w:rPr>
        <w:t xml:space="preserve"> OCENĚNÍ</w:t>
      </w:r>
    </w:p>
    <w:p w14:paraId="7E8D7349" w14:textId="31E7C6BC" w:rsidR="00FC10B9" w:rsidRDefault="00FC10B9" w:rsidP="004850C5"/>
    <w:p w14:paraId="159CA68C" w14:textId="77777777" w:rsidR="00FC10B9" w:rsidRPr="00EC4F3B" w:rsidRDefault="00FC10B9" w:rsidP="004850C5">
      <w:pPr>
        <w:rPr>
          <w:lang w:val="cs-CZ"/>
        </w:rPr>
      </w:pPr>
    </w:p>
    <w:tbl>
      <w:tblPr>
        <w:tblW w:w="13784" w:type="dxa"/>
        <w:tblLook w:val="04A0" w:firstRow="1" w:lastRow="0" w:firstColumn="1" w:lastColumn="0" w:noHBand="0" w:noVBand="1"/>
      </w:tblPr>
      <w:tblGrid>
        <w:gridCol w:w="284"/>
        <w:gridCol w:w="6006"/>
        <w:gridCol w:w="4078"/>
        <w:gridCol w:w="3416"/>
      </w:tblGrid>
      <w:tr w:rsidR="004850C5" w:rsidRPr="00EC4F3B" w14:paraId="1A96DB1D" w14:textId="77777777" w:rsidTr="004850C5"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291B" w14:textId="77777777" w:rsidR="004850C5" w:rsidRPr="00EC4F3B" w:rsidRDefault="004850C5" w:rsidP="00D16F7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DB6CC" w14:textId="4F3F6301" w:rsidR="004850C5" w:rsidRPr="00EC4F3B" w:rsidRDefault="00C14A55" w:rsidP="00D16F7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A563F" w14:textId="77777777" w:rsidR="004850C5" w:rsidRPr="00EC4F3B" w:rsidRDefault="004850C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B9A2F" w14:textId="77777777" w:rsidR="004850C5" w:rsidRPr="00EC4F3B" w:rsidRDefault="004850C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4850C5" w:rsidRPr="00EC4F3B" w14:paraId="4FF7591C" w14:textId="77777777" w:rsidTr="004850C5">
        <w:trPr>
          <w:trHeight w:val="11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09970" w14:textId="77777777" w:rsidR="004850C5" w:rsidRPr="00EC4F3B" w:rsidRDefault="004850C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D74FC1" w14:textId="378DF947" w:rsidR="000721A0" w:rsidRPr="00EC4F3B" w:rsidRDefault="000721A0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Implementace směrnice pro výběrová řízení vědeckých pracovníků</w:t>
            </w:r>
          </w:p>
          <w:p w14:paraId="5CA0F7F3" w14:textId="26551958" w:rsidR="000721A0" w:rsidRPr="00EC4F3B" w:rsidRDefault="000721A0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29BA064F" w14:textId="2F53D01E" w:rsidR="000721A0" w:rsidRPr="00EC4F3B" w:rsidRDefault="001F397F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Směrnice bude publikována na</w:t>
            </w:r>
            <w:r w:rsidR="000721A0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webových stránkách instituce, konkrétně pod záložkou HRS4R, česky a anglicky.</w:t>
            </w:r>
          </w:p>
          <w:p w14:paraId="0B6FB713" w14:textId="77777777" w:rsidR="000721A0" w:rsidRPr="00EC4F3B" w:rsidRDefault="000721A0" w:rsidP="00A90D97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3B610667" w14:textId="77777777" w:rsidR="004850C5" w:rsidRPr="00EC4F3B" w:rsidRDefault="004850C5" w:rsidP="001F397F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6667" w14:textId="77EDD75A" w:rsidR="004850C5" w:rsidRPr="00EC4F3B" w:rsidRDefault="002A5987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4850C5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1D63A645" w14:textId="0F3563A2" w:rsidR="002C0D7D" w:rsidRPr="00EC4F3B" w:rsidRDefault="002C0D7D" w:rsidP="002A5987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12. Nábor</w:t>
            </w:r>
            <w:r w:rsidR="002A5987" w:rsidRPr="00EC4F3B">
              <w:rPr>
                <w:bCs/>
                <w:lang w:val="cs-CZ"/>
              </w:rPr>
              <w:t xml:space="preserve">  (+/-)</w:t>
            </w:r>
          </w:p>
          <w:p w14:paraId="46D6DB7F" w14:textId="0D807EC7" w:rsidR="002C0D7D" w:rsidRPr="00EC4F3B" w:rsidRDefault="002C0D7D" w:rsidP="002A5987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13. Výběr (Kodex)</w:t>
            </w:r>
            <w:r w:rsidR="002A5987" w:rsidRPr="00EC4F3B">
              <w:rPr>
                <w:bCs/>
                <w:lang w:val="cs-CZ"/>
              </w:rPr>
              <w:t xml:space="preserve"> (+/-)</w:t>
            </w:r>
          </w:p>
          <w:p w14:paraId="69E1ED70" w14:textId="7C730CAD" w:rsidR="002C0D7D" w:rsidRPr="00EC4F3B" w:rsidRDefault="002C0D7D" w:rsidP="002A5987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14. Nábor (Kodex)</w:t>
            </w:r>
            <w:r w:rsidR="002A5987" w:rsidRPr="00EC4F3B">
              <w:rPr>
                <w:bCs/>
                <w:lang w:val="cs-CZ"/>
              </w:rPr>
              <w:t xml:space="preserve"> (+/-)</w:t>
            </w:r>
          </w:p>
          <w:p w14:paraId="5E6345B9" w14:textId="6FA06D91" w:rsidR="002C0D7D" w:rsidRPr="00EC4F3B" w:rsidRDefault="002C0D7D" w:rsidP="002A5987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15. Transpare</w:t>
            </w:r>
            <w:r w:rsidR="004469CF">
              <w:rPr>
                <w:bCs/>
                <w:lang w:val="cs-CZ"/>
              </w:rPr>
              <w:t>n</w:t>
            </w:r>
            <w:r w:rsidRPr="00EC4F3B">
              <w:rPr>
                <w:bCs/>
                <w:lang w:val="cs-CZ"/>
              </w:rPr>
              <w:t>t</w:t>
            </w:r>
            <w:r w:rsidR="005D6CEB">
              <w:rPr>
                <w:bCs/>
                <w:lang w:val="cs-CZ"/>
              </w:rPr>
              <w:t>n</w:t>
            </w:r>
            <w:r w:rsidRPr="00EC4F3B">
              <w:rPr>
                <w:bCs/>
                <w:lang w:val="cs-CZ"/>
              </w:rPr>
              <w:t>ost (Kodex)</w:t>
            </w:r>
            <w:r w:rsidR="002A5987" w:rsidRPr="00EC4F3B">
              <w:rPr>
                <w:bCs/>
                <w:lang w:val="cs-CZ"/>
              </w:rPr>
              <w:t xml:space="preserve"> (+/-)</w:t>
            </w:r>
          </w:p>
          <w:p w14:paraId="2FEBC687" w14:textId="21909BED" w:rsidR="002C0D7D" w:rsidRPr="00EC4F3B" w:rsidRDefault="002C0D7D" w:rsidP="002A5987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16. Hodnocení zásluh (Kodex)</w:t>
            </w:r>
            <w:r w:rsidR="002A5987" w:rsidRPr="00EC4F3B">
              <w:rPr>
                <w:bCs/>
                <w:lang w:val="cs-CZ"/>
              </w:rPr>
              <w:t xml:space="preserve"> (+/-)</w:t>
            </w:r>
          </w:p>
          <w:p w14:paraId="030F410A" w14:textId="04AE3737" w:rsidR="002C0D7D" w:rsidRPr="00EC4F3B" w:rsidRDefault="002C0D7D" w:rsidP="002A5987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17. Změny v časovém pořadí životopisů (Kodex)</w:t>
            </w:r>
            <w:r w:rsidR="002A5987" w:rsidRPr="00EC4F3B">
              <w:rPr>
                <w:bCs/>
                <w:lang w:val="cs-CZ"/>
              </w:rPr>
              <w:t xml:space="preserve">  (+/-)</w:t>
            </w:r>
          </w:p>
          <w:p w14:paraId="3E2495E5" w14:textId="07F0CA00" w:rsidR="002C0D7D" w:rsidRPr="00EC4F3B" w:rsidRDefault="002C0D7D" w:rsidP="002A5987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18. Uznání zkušeností s mobilitou (Kodex)</w:t>
            </w:r>
            <w:r w:rsidR="002A5987" w:rsidRPr="00EC4F3B">
              <w:rPr>
                <w:bCs/>
                <w:lang w:val="cs-CZ"/>
              </w:rPr>
              <w:t xml:space="preserve"> (+/-)</w:t>
            </w:r>
          </w:p>
          <w:p w14:paraId="103996EA" w14:textId="4A16B2ED" w:rsidR="002C0D7D" w:rsidRPr="00EC4F3B" w:rsidRDefault="002C0D7D" w:rsidP="002A5987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19. Uznání kvalifikace (Kodex)</w:t>
            </w:r>
            <w:r w:rsidR="002A5987" w:rsidRPr="00EC4F3B">
              <w:rPr>
                <w:bCs/>
                <w:lang w:val="cs-CZ"/>
              </w:rPr>
              <w:t xml:space="preserve"> (+/-)</w:t>
            </w:r>
          </w:p>
          <w:p w14:paraId="44FA6DC2" w14:textId="0F9185A0" w:rsidR="004850C5" w:rsidRPr="00EC4F3B" w:rsidRDefault="004850C5" w:rsidP="0035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7F65" w14:textId="1DC52927" w:rsidR="004850C5" w:rsidRPr="00EC4F3B" w:rsidRDefault="002C0D7D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0F913051" w14:textId="70CA1627" w:rsidR="004850C5" w:rsidRPr="00EC4F3B" w:rsidRDefault="002E4CEE" w:rsidP="002E4C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2</w:t>
            </w:r>
            <w:r w:rsidR="004850C5"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Q/2021</w:t>
            </w:r>
            <w:r w:rsidR="002045F8" w:rsidRPr="00EC4F3B">
              <w:rPr>
                <w:rFonts w:ascii="Calibri" w:eastAsia="Times New Roman" w:hAnsi="Calibri" w:cs="Calibri"/>
                <w:lang w:val="cs-CZ"/>
              </w:rPr>
              <w:t xml:space="preserve"> začátek, časově neohraničeno</w:t>
            </w:r>
          </w:p>
        </w:tc>
      </w:tr>
      <w:tr w:rsidR="004850C5" w:rsidRPr="00EC4F3B" w14:paraId="4B06E1BB" w14:textId="77777777" w:rsidTr="004850C5">
        <w:trPr>
          <w:trHeight w:val="9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5E29" w14:textId="77777777" w:rsidR="004850C5" w:rsidRPr="00EC4F3B" w:rsidRDefault="004850C5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346AD" w14:textId="77777777" w:rsidR="004850C5" w:rsidRPr="00EC4F3B" w:rsidRDefault="004850C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3761" w14:textId="320F89EE" w:rsidR="004850C5" w:rsidRPr="00EC4F3B" w:rsidRDefault="002045F8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29C890F5" w14:textId="39779177" w:rsidR="004850C5" w:rsidRPr="00EC4F3B" w:rsidRDefault="004850C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IT </w:t>
            </w:r>
            <w:r w:rsidR="00FA11F9" w:rsidRPr="00EC4F3B">
              <w:rPr>
                <w:rFonts w:ascii="Calibri" w:eastAsia="Times New Roman" w:hAnsi="Calibri" w:cs="Calibri"/>
                <w:color w:val="000000"/>
                <w:lang w:val="cs-CZ"/>
              </w:rPr>
              <w:t>Tým</w:t>
            </w:r>
          </w:p>
          <w:p w14:paraId="0E6DBF47" w14:textId="553A4FB8" w:rsidR="004850C5" w:rsidRPr="00EC4F3B" w:rsidRDefault="00FA11F9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Úsek personální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CA15" w14:textId="6AD79E45" w:rsidR="004850C5" w:rsidRPr="00EC4F3B" w:rsidRDefault="002045F8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6CDF9F4C" w14:textId="793CB566" w:rsidR="002045F8" w:rsidRPr="00EC4F3B" w:rsidRDefault="002045F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Směrnice pro výběrová řízení vědeckých pracovníků v platnosti a publikovaná </w:t>
            </w:r>
          </w:p>
          <w:p w14:paraId="227704FB" w14:textId="39113689" w:rsidR="00967907" w:rsidRPr="00EC4F3B" w:rsidRDefault="00967907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620EA6E3" w14:textId="77777777" w:rsidR="004850C5" w:rsidRPr="00EC4F3B" w:rsidRDefault="004850C5" w:rsidP="004850C5">
      <w:pPr>
        <w:rPr>
          <w:lang w:val="cs-CZ"/>
        </w:rPr>
      </w:pPr>
    </w:p>
    <w:p w14:paraId="67253824" w14:textId="77777777" w:rsidR="004850C5" w:rsidRPr="00EC4F3B" w:rsidRDefault="004850C5" w:rsidP="004850C5">
      <w:pPr>
        <w:rPr>
          <w:lang w:val="cs-CZ"/>
        </w:rPr>
      </w:pPr>
    </w:p>
    <w:p w14:paraId="19E7A994" w14:textId="77777777" w:rsidR="002E4CEE" w:rsidRPr="00EC4F3B" w:rsidRDefault="002E4CEE" w:rsidP="004850C5">
      <w:pPr>
        <w:rPr>
          <w:lang w:val="cs-CZ"/>
        </w:rPr>
      </w:pPr>
    </w:p>
    <w:p w14:paraId="676146D7" w14:textId="7B414E6D" w:rsidR="002E4CEE" w:rsidRPr="00EC4F3B" w:rsidRDefault="002E4CEE" w:rsidP="004850C5">
      <w:pPr>
        <w:rPr>
          <w:lang w:val="cs-CZ"/>
        </w:rPr>
      </w:pPr>
    </w:p>
    <w:p w14:paraId="136AB28C" w14:textId="5497F97C" w:rsidR="003575CB" w:rsidRPr="00EC4F3B" w:rsidRDefault="003575CB" w:rsidP="004850C5">
      <w:pPr>
        <w:rPr>
          <w:lang w:val="cs-CZ"/>
        </w:rPr>
      </w:pPr>
    </w:p>
    <w:p w14:paraId="6892B4F3" w14:textId="77777777" w:rsidR="00D801E8" w:rsidRPr="00EC4F3B" w:rsidRDefault="00D801E8" w:rsidP="00D801E8">
      <w:pPr>
        <w:rPr>
          <w:lang w:val="cs-CZ"/>
        </w:rPr>
      </w:pPr>
    </w:p>
    <w:tbl>
      <w:tblPr>
        <w:tblW w:w="13784" w:type="dxa"/>
        <w:tblLook w:val="04A0" w:firstRow="1" w:lastRow="0" w:firstColumn="1" w:lastColumn="0" w:noHBand="0" w:noVBand="1"/>
      </w:tblPr>
      <w:tblGrid>
        <w:gridCol w:w="284"/>
        <w:gridCol w:w="6006"/>
        <w:gridCol w:w="4078"/>
        <w:gridCol w:w="3416"/>
      </w:tblGrid>
      <w:tr w:rsidR="00D801E8" w:rsidRPr="00EC4F3B" w14:paraId="06EC284A" w14:textId="77777777" w:rsidTr="00D801E8"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BB39" w14:textId="77777777" w:rsidR="00D801E8" w:rsidRPr="00EC4F3B" w:rsidRDefault="00D801E8" w:rsidP="00D801E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F5799" w14:textId="77777777" w:rsidR="00D801E8" w:rsidRPr="00EC4F3B" w:rsidRDefault="00D801E8" w:rsidP="00D801E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02C8C" w14:textId="77777777" w:rsidR="00D801E8" w:rsidRPr="00EC4F3B" w:rsidRDefault="00D801E8" w:rsidP="00D80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9D7E5" w14:textId="77777777" w:rsidR="00D801E8" w:rsidRPr="00EC4F3B" w:rsidRDefault="00D801E8" w:rsidP="00D80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D801E8" w:rsidRPr="00EC4F3B" w14:paraId="2A08CB00" w14:textId="77777777" w:rsidTr="00D801E8">
        <w:trPr>
          <w:trHeight w:val="11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245EC" w14:textId="77777777" w:rsidR="00D801E8" w:rsidRPr="00EC4F3B" w:rsidRDefault="00D801E8" w:rsidP="00D80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8812D2" w14:textId="3EF6ABA3" w:rsidR="00D801E8" w:rsidRPr="00EC4F3B" w:rsidRDefault="00D801E8" w:rsidP="00D801E8">
            <w:pPr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 xml:space="preserve">Vyhodnocovací formuláře v souladu s </w:t>
            </w:r>
            <w:r w:rsidR="00F226FF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pravidly</w:t>
            </w: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 xml:space="preserve"> Kodexu chování při výběru vědeckých pracovníků</w:t>
            </w:r>
          </w:p>
          <w:p w14:paraId="4547003E" w14:textId="469829D6" w:rsidR="00D801E8" w:rsidRPr="00EC4F3B" w:rsidRDefault="00D801E8" w:rsidP="00D801E8">
            <w:pPr>
              <w:rPr>
                <w:lang w:val="cs-CZ"/>
              </w:rPr>
            </w:pPr>
            <w:r w:rsidRPr="00EC4F3B">
              <w:rPr>
                <w:lang w:val="cs-CZ"/>
              </w:rPr>
              <w:t xml:space="preserve">Vyhodnocovací formuláře zajišťují, že budou uplatněna povinná kritéria při hodnocení kandidátů. Bude brán zřetel i na další kvality kandidátů, než </w:t>
            </w:r>
            <w:r w:rsidR="001918A7" w:rsidRPr="00EC4F3B">
              <w:rPr>
                <w:lang w:val="cs-CZ"/>
              </w:rPr>
              <w:t>jen bibliometrické indi</w:t>
            </w:r>
            <w:r w:rsidRPr="00EC4F3B">
              <w:rPr>
                <w:lang w:val="cs-CZ"/>
              </w:rPr>
              <w:t xml:space="preserve">kátory. </w:t>
            </w:r>
          </w:p>
          <w:p w14:paraId="321D0110" w14:textId="388C6EEC" w:rsidR="00D801E8" w:rsidRPr="00EC4F3B" w:rsidRDefault="00D801E8" w:rsidP="00D801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34B4C288" w14:textId="77777777" w:rsidR="00D801E8" w:rsidRPr="00EC4F3B" w:rsidRDefault="00D801E8" w:rsidP="00D801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2460E88E" w14:textId="77777777" w:rsidR="00D801E8" w:rsidRPr="00EC4F3B" w:rsidRDefault="00D801E8" w:rsidP="00D801E8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34C661B5" w14:textId="77777777" w:rsidR="00D801E8" w:rsidRPr="00EC4F3B" w:rsidRDefault="00D801E8" w:rsidP="00D801E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4853" w14:textId="7E061201" w:rsidR="00D801E8" w:rsidRPr="00EC4F3B" w:rsidRDefault="00F1720A" w:rsidP="00D801E8">
            <w:pPr>
              <w:rPr>
                <w:lang w:val="cs-CZ"/>
              </w:rPr>
            </w:pPr>
            <w:r w:rsidRPr="00EC4F3B">
              <w:rPr>
                <w:b/>
                <w:bCs/>
                <w:lang w:val="cs-CZ"/>
              </w:rPr>
              <w:t>GAP Principy</w:t>
            </w:r>
            <w:r w:rsidR="00D801E8" w:rsidRPr="00EC4F3B">
              <w:rPr>
                <w:lang w:val="cs-CZ"/>
              </w:rPr>
              <w:t xml:space="preserve"> (+/-)  </w:t>
            </w:r>
          </w:p>
          <w:p w14:paraId="06417452" w14:textId="77777777" w:rsidR="00D801E8" w:rsidRPr="00EC4F3B" w:rsidRDefault="00D801E8" w:rsidP="00D801E8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12. Nábor  (+/-)</w:t>
            </w:r>
          </w:p>
          <w:p w14:paraId="181821F1" w14:textId="77777777" w:rsidR="00D801E8" w:rsidRPr="00EC4F3B" w:rsidRDefault="00D801E8" w:rsidP="00D801E8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13. Výběr (Kodex) (+/-)</w:t>
            </w:r>
          </w:p>
          <w:p w14:paraId="70DADE35" w14:textId="77777777" w:rsidR="00D801E8" w:rsidRPr="00EC4F3B" w:rsidRDefault="00D801E8" w:rsidP="00D801E8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14. Nábor (Kodex) (+/-)</w:t>
            </w:r>
          </w:p>
          <w:p w14:paraId="178B9849" w14:textId="78984138" w:rsidR="00D801E8" w:rsidRPr="00EC4F3B" w:rsidRDefault="00D801E8" w:rsidP="00D801E8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15. Transpare</w:t>
            </w:r>
            <w:r w:rsidR="004469CF">
              <w:rPr>
                <w:bCs/>
                <w:lang w:val="cs-CZ"/>
              </w:rPr>
              <w:t>n</w:t>
            </w:r>
            <w:r w:rsidRPr="00EC4F3B">
              <w:rPr>
                <w:bCs/>
                <w:lang w:val="cs-CZ"/>
              </w:rPr>
              <w:t>t</w:t>
            </w:r>
            <w:r w:rsidR="005D6CEB">
              <w:rPr>
                <w:bCs/>
                <w:lang w:val="cs-CZ"/>
              </w:rPr>
              <w:t>n</w:t>
            </w:r>
            <w:r w:rsidRPr="00EC4F3B">
              <w:rPr>
                <w:bCs/>
                <w:lang w:val="cs-CZ"/>
              </w:rPr>
              <w:t>ost (Kodex) (+/-)</w:t>
            </w:r>
          </w:p>
          <w:p w14:paraId="615DD3E7" w14:textId="77777777" w:rsidR="00D801E8" w:rsidRPr="00EC4F3B" w:rsidRDefault="00D801E8" w:rsidP="00D801E8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16. Hodnocení zásluh (Kodex) (+/-)</w:t>
            </w:r>
          </w:p>
          <w:p w14:paraId="67972546" w14:textId="77777777" w:rsidR="00D801E8" w:rsidRPr="00EC4F3B" w:rsidRDefault="00D801E8" w:rsidP="00D801E8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17. Změny v časovém pořadí životopisů (Kodex)  (+/-)</w:t>
            </w:r>
          </w:p>
          <w:p w14:paraId="2C7DDEE6" w14:textId="77777777" w:rsidR="00D801E8" w:rsidRPr="00EC4F3B" w:rsidRDefault="00D801E8" w:rsidP="00D801E8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18. Uznání zkušeností s mobilitou (Kodex) (+/-)</w:t>
            </w:r>
          </w:p>
          <w:p w14:paraId="73DCE9AE" w14:textId="77777777" w:rsidR="00D801E8" w:rsidRPr="00EC4F3B" w:rsidRDefault="00D801E8" w:rsidP="00D801E8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19. Uznání kvalifikace (Kodex) (+/-)</w:t>
            </w:r>
          </w:p>
          <w:p w14:paraId="7CFDA707" w14:textId="77777777" w:rsidR="00D801E8" w:rsidRPr="00EC4F3B" w:rsidRDefault="00D801E8" w:rsidP="00D801E8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20. Seniorita (Kodex) (+/-)</w:t>
            </w:r>
          </w:p>
          <w:p w14:paraId="1CC70749" w14:textId="77777777" w:rsidR="00D801E8" w:rsidRPr="00EC4F3B" w:rsidRDefault="00D801E8" w:rsidP="00D80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3957" w14:textId="0379836B" w:rsidR="00D801E8" w:rsidRPr="00EC4F3B" w:rsidRDefault="00D801E8" w:rsidP="00D80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37F76C76" w14:textId="6ADC6145" w:rsidR="00D801E8" w:rsidRPr="00EC4F3B" w:rsidRDefault="00D801E8" w:rsidP="00FA11F9">
            <w:pPr>
              <w:rPr>
                <w:lang w:val="cs-CZ"/>
              </w:rPr>
            </w:pPr>
            <w:r w:rsidRPr="00EC4F3B">
              <w:rPr>
                <w:lang w:val="cs-CZ"/>
              </w:rPr>
              <w:t xml:space="preserve">2Q/2021 </w:t>
            </w:r>
            <w:r w:rsidR="002045F8" w:rsidRPr="00EC4F3B">
              <w:rPr>
                <w:rFonts w:ascii="Calibri" w:eastAsia="Times New Roman" w:hAnsi="Calibri" w:cs="Calibri"/>
                <w:lang w:val="cs-CZ"/>
              </w:rPr>
              <w:t>začátek, časově neohraničeno</w:t>
            </w:r>
          </w:p>
        </w:tc>
      </w:tr>
      <w:tr w:rsidR="00D801E8" w:rsidRPr="00EC4F3B" w14:paraId="75D7F110" w14:textId="77777777" w:rsidTr="00D801E8">
        <w:trPr>
          <w:trHeight w:val="9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9A90" w14:textId="77777777" w:rsidR="00D801E8" w:rsidRPr="00EC4F3B" w:rsidRDefault="00D801E8" w:rsidP="00D80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65ECD" w14:textId="77777777" w:rsidR="00D801E8" w:rsidRPr="00EC4F3B" w:rsidRDefault="00D801E8" w:rsidP="00D80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E191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627B25E8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IT Tým</w:t>
            </w:r>
          </w:p>
          <w:p w14:paraId="7F42847A" w14:textId="296A11E5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Úsek personální</w:t>
            </w:r>
          </w:p>
          <w:p w14:paraId="2182F0B7" w14:textId="7C9DC5A1" w:rsidR="00D801E8" w:rsidRPr="00EC4F3B" w:rsidRDefault="00D801E8" w:rsidP="00D80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37A9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0967CA5B" w14:textId="4ED49F85" w:rsidR="001918A7" w:rsidRPr="00EC4F3B" w:rsidRDefault="001918A7" w:rsidP="00D80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Hodnocení výběrových řízení založeno na kritériích podle hodnotících formulářů</w:t>
            </w:r>
          </w:p>
          <w:p w14:paraId="0FEF9947" w14:textId="4DF89DF6" w:rsidR="00D801E8" w:rsidRPr="00EC4F3B" w:rsidRDefault="00D801E8" w:rsidP="001918A7">
            <w:pPr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654ADCB1" w14:textId="0401598E" w:rsidR="00D801E8" w:rsidRPr="00EC4F3B" w:rsidRDefault="00D801E8" w:rsidP="004850C5">
      <w:pPr>
        <w:rPr>
          <w:lang w:val="cs-CZ"/>
        </w:rPr>
      </w:pPr>
    </w:p>
    <w:p w14:paraId="42D55B9A" w14:textId="0E27F392" w:rsidR="00D801E8" w:rsidRPr="00EC4F3B" w:rsidRDefault="00D801E8" w:rsidP="004850C5">
      <w:pPr>
        <w:rPr>
          <w:lang w:val="cs-CZ"/>
        </w:rPr>
      </w:pPr>
    </w:p>
    <w:p w14:paraId="2DB7EC9A" w14:textId="03FC8B25" w:rsidR="00D801E8" w:rsidRPr="00EC4F3B" w:rsidRDefault="00D801E8" w:rsidP="004850C5">
      <w:pPr>
        <w:rPr>
          <w:lang w:val="cs-CZ"/>
        </w:rPr>
      </w:pPr>
    </w:p>
    <w:p w14:paraId="0A72AA97" w14:textId="77777777" w:rsidR="00D801E8" w:rsidRPr="00EC4F3B" w:rsidRDefault="00D801E8" w:rsidP="004850C5">
      <w:pPr>
        <w:rPr>
          <w:lang w:val="cs-CZ"/>
        </w:rPr>
      </w:pPr>
    </w:p>
    <w:p w14:paraId="5311127E" w14:textId="50FF4D41" w:rsidR="003575CB" w:rsidRPr="00EC4F3B" w:rsidRDefault="003575CB" w:rsidP="004850C5">
      <w:pPr>
        <w:rPr>
          <w:lang w:val="cs-CZ"/>
        </w:rPr>
      </w:pPr>
    </w:p>
    <w:p w14:paraId="130A2621" w14:textId="77777777" w:rsidR="002E4CEE" w:rsidRPr="00EC4F3B" w:rsidRDefault="002E4CEE" w:rsidP="004850C5">
      <w:pPr>
        <w:rPr>
          <w:lang w:val="cs-CZ"/>
        </w:rPr>
      </w:pPr>
    </w:p>
    <w:p w14:paraId="0765703F" w14:textId="77777777" w:rsidR="002E4CEE" w:rsidRPr="00EC4F3B" w:rsidRDefault="002E4CEE" w:rsidP="004850C5">
      <w:pPr>
        <w:rPr>
          <w:lang w:val="cs-CZ"/>
        </w:rPr>
      </w:pPr>
    </w:p>
    <w:tbl>
      <w:tblPr>
        <w:tblW w:w="13600" w:type="dxa"/>
        <w:tblInd w:w="274" w:type="dxa"/>
        <w:tblLook w:val="04A0" w:firstRow="1" w:lastRow="0" w:firstColumn="1" w:lastColumn="0" w:noHBand="0" w:noVBand="1"/>
      </w:tblPr>
      <w:tblGrid>
        <w:gridCol w:w="5822"/>
        <w:gridCol w:w="4046"/>
        <w:gridCol w:w="3732"/>
      </w:tblGrid>
      <w:tr w:rsidR="00EF1F64" w:rsidRPr="00EC4F3B" w14:paraId="30F8470F" w14:textId="77777777" w:rsidTr="00D16F76">
        <w:trPr>
          <w:trHeight w:val="280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FD376" w14:textId="1A78854D" w:rsidR="00EF1F64" w:rsidRPr="00EC4F3B" w:rsidRDefault="00A90D97" w:rsidP="00A90D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3) ČÍSLO AKCE</w:t>
            </w:r>
          </w:p>
        </w:tc>
        <w:tc>
          <w:tcPr>
            <w:tcW w:w="40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04701" w14:textId="77777777" w:rsidR="00EF1F64" w:rsidRPr="00EC4F3B" w:rsidRDefault="00EF1F64" w:rsidP="00EF1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0FC34" w14:textId="77777777" w:rsidR="00EF1F64" w:rsidRPr="00EC4F3B" w:rsidRDefault="00EF1F64" w:rsidP="00EF1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EF1F64" w:rsidRPr="00EC4F3B" w14:paraId="18B13AEC" w14:textId="77777777" w:rsidTr="00D16F76">
        <w:trPr>
          <w:trHeight w:val="1121"/>
        </w:trPr>
        <w:tc>
          <w:tcPr>
            <w:tcW w:w="5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FCAE124" w14:textId="6983776A" w:rsidR="00EF1F64" w:rsidRPr="00EC4F3B" w:rsidRDefault="0021633A" w:rsidP="00EF1F64">
            <w:pPr>
              <w:spacing w:after="0" w:line="240" w:lineRule="auto"/>
              <w:jc w:val="both"/>
              <w:rPr>
                <w:b/>
                <w:lang w:val="cs-CZ"/>
              </w:rPr>
            </w:pPr>
            <w:r w:rsidRPr="00EC4F3B">
              <w:rPr>
                <w:b/>
                <w:lang w:val="cs-CZ"/>
              </w:rPr>
              <w:t>Inzerování volných pozic na</w:t>
            </w:r>
            <w:r w:rsidR="00EF1F64" w:rsidRPr="00EC4F3B">
              <w:rPr>
                <w:b/>
                <w:lang w:val="cs-CZ"/>
              </w:rPr>
              <w:t xml:space="preserve"> Twitter</w:t>
            </w:r>
            <w:r w:rsidRPr="00EC4F3B">
              <w:rPr>
                <w:b/>
                <w:lang w:val="cs-CZ"/>
              </w:rPr>
              <w:t>u</w:t>
            </w:r>
          </w:p>
          <w:p w14:paraId="652C01FC" w14:textId="77777777" w:rsidR="00D16F76" w:rsidRPr="00EC4F3B" w:rsidRDefault="00D16F76" w:rsidP="00EF1F64">
            <w:pPr>
              <w:spacing w:after="0" w:line="240" w:lineRule="auto"/>
              <w:jc w:val="both"/>
              <w:rPr>
                <w:b/>
                <w:lang w:val="cs-CZ"/>
              </w:rPr>
            </w:pPr>
          </w:p>
          <w:p w14:paraId="2DF65888" w14:textId="4954B543" w:rsidR="00EF1F64" w:rsidRPr="00EC4F3B" w:rsidRDefault="00743179" w:rsidP="00EF1F64">
            <w:pPr>
              <w:spacing w:after="0" w:line="240" w:lineRule="auto"/>
              <w:jc w:val="both"/>
              <w:rPr>
                <w:lang w:val="cs-CZ"/>
              </w:rPr>
            </w:pPr>
            <w:r w:rsidRPr="00EC4F3B">
              <w:rPr>
                <w:lang w:val="cs-CZ"/>
              </w:rPr>
              <w:t>Všechny otevřené pozice budou inzerovány na sociální síti Twitteru, která byla vybrána coby nejvhodnější pro inzerci vědeckých pozic. Inzerce na sociálních sítích má za účel zajistit co největší dosah.</w:t>
            </w:r>
          </w:p>
          <w:p w14:paraId="5EAF1F9D" w14:textId="77777777" w:rsidR="00EF1F64" w:rsidRPr="00EC4F3B" w:rsidRDefault="00EF1F64" w:rsidP="00EF1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AB70" w14:textId="5DE09600" w:rsidR="00EF1F64" w:rsidRPr="00EC4F3B" w:rsidRDefault="00F1720A" w:rsidP="00EF1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EF1F64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65742408" w14:textId="4A98FC73" w:rsidR="002A5987" w:rsidRPr="00EC4F3B" w:rsidRDefault="002A5987" w:rsidP="002A5987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12. Nábor (+/-)</w:t>
            </w:r>
          </w:p>
          <w:p w14:paraId="1B05BB76" w14:textId="77777777" w:rsidR="00055CE1" w:rsidRPr="00EC4F3B" w:rsidRDefault="00055CE1" w:rsidP="002E4CEE">
            <w:pPr>
              <w:spacing w:after="0"/>
              <w:ind w:left="2"/>
              <w:rPr>
                <w:bCs/>
                <w:lang w:val="cs-CZ"/>
              </w:rPr>
            </w:pPr>
          </w:p>
          <w:p w14:paraId="11C1F354" w14:textId="77777777" w:rsidR="00EF1F64" w:rsidRPr="00EC4F3B" w:rsidRDefault="00EF1F64" w:rsidP="003575CB">
            <w:pPr>
              <w:spacing w:after="0"/>
              <w:ind w:left="2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9ABB" w14:textId="3A448B0D" w:rsidR="00EF1F64" w:rsidRPr="00EC4F3B" w:rsidRDefault="001918A7" w:rsidP="00EF1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4F58BBE4" w14:textId="3E9304B6" w:rsidR="002045F8" w:rsidRPr="00EC4F3B" w:rsidRDefault="002E4CEE" w:rsidP="00EF1F64">
            <w:pPr>
              <w:spacing w:after="0" w:line="240" w:lineRule="auto"/>
              <w:rPr>
                <w:lang w:val="cs-CZ"/>
              </w:rPr>
            </w:pPr>
            <w:r w:rsidRPr="00EC4F3B">
              <w:rPr>
                <w:lang w:val="cs-CZ"/>
              </w:rPr>
              <w:t xml:space="preserve">2Q/2021 </w:t>
            </w:r>
            <w:r w:rsidR="002045F8" w:rsidRPr="00EC4F3B">
              <w:rPr>
                <w:rFonts w:ascii="Calibri" w:eastAsia="Times New Roman" w:hAnsi="Calibri" w:cs="Calibri"/>
                <w:lang w:val="cs-CZ"/>
              </w:rPr>
              <w:t>začátek, časově neohraničeno</w:t>
            </w:r>
          </w:p>
          <w:p w14:paraId="1A35B018" w14:textId="6F523352" w:rsidR="00EF1F64" w:rsidRPr="00EC4F3B" w:rsidRDefault="00EF1F64" w:rsidP="001918A7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</w:p>
        </w:tc>
      </w:tr>
      <w:tr w:rsidR="00EF1F64" w:rsidRPr="00EC4F3B" w14:paraId="4BC8F732" w14:textId="77777777" w:rsidTr="00D16F76">
        <w:trPr>
          <w:trHeight w:val="919"/>
        </w:trPr>
        <w:tc>
          <w:tcPr>
            <w:tcW w:w="5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E3E08" w14:textId="77777777" w:rsidR="00EF1F64" w:rsidRPr="00EC4F3B" w:rsidRDefault="00EF1F64" w:rsidP="00EF1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E5CE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52CB0865" w14:textId="2EE7C8F7" w:rsidR="00FA11F9" w:rsidRPr="00EC4F3B" w:rsidRDefault="001918A7" w:rsidP="00AD6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PR oddělení</w:t>
            </w:r>
          </w:p>
          <w:p w14:paraId="0D157AC9" w14:textId="06330BA4" w:rsidR="001918A7" w:rsidRPr="00EC4F3B" w:rsidRDefault="001918A7" w:rsidP="00AD6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2ED6F5E3" w14:textId="77777777" w:rsidR="00EF1F64" w:rsidRPr="00EC4F3B" w:rsidRDefault="00EF1F64" w:rsidP="00191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F24C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3B23D0BF" w14:textId="24DDA912" w:rsidR="00FA11F9" w:rsidRPr="00EC4F3B" w:rsidRDefault="001918A7" w:rsidP="00EF1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Většina inzerovaných pozicí je publikována také na Twitteru</w:t>
            </w:r>
          </w:p>
          <w:p w14:paraId="3105EFB0" w14:textId="79E03B63" w:rsidR="00EF1F64" w:rsidRPr="00EC4F3B" w:rsidRDefault="00EF1F64" w:rsidP="00EF1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3E500DB6" w14:textId="52491321" w:rsidR="00D801E8" w:rsidRPr="00EC4F3B" w:rsidRDefault="00D801E8" w:rsidP="00EF1F64">
      <w:pPr>
        <w:rPr>
          <w:lang w:val="cs-CZ"/>
        </w:rPr>
      </w:pPr>
    </w:p>
    <w:p w14:paraId="586FC602" w14:textId="530C1F94" w:rsidR="00D801E8" w:rsidRPr="00EC4F3B" w:rsidRDefault="00D801E8" w:rsidP="00EF1F64">
      <w:pPr>
        <w:rPr>
          <w:lang w:val="cs-CZ"/>
        </w:rPr>
      </w:pPr>
    </w:p>
    <w:p w14:paraId="13245D57" w14:textId="751D8DA5" w:rsidR="00D801E8" w:rsidRPr="00EC4F3B" w:rsidRDefault="00D801E8" w:rsidP="00EF1F64">
      <w:pPr>
        <w:rPr>
          <w:lang w:val="cs-CZ"/>
        </w:rPr>
      </w:pPr>
    </w:p>
    <w:p w14:paraId="09CFF83E" w14:textId="0A731B66" w:rsidR="00D801E8" w:rsidRPr="00EC4F3B" w:rsidRDefault="00D801E8" w:rsidP="00EF1F64">
      <w:pPr>
        <w:rPr>
          <w:lang w:val="cs-CZ"/>
        </w:rPr>
      </w:pPr>
    </w:p>
    <w:p w14:paraId="7CEEC65B" w14:textId="6F3C9B00" w:rsidR="00D801E8" w:rsidRPr="00EC4F3B" w:rsidRDefault="00D801E8" w:rsidP="00EF1F64">
      <w:pPr>
        <w:rPr>
          <w:lang w:val="cs-CZ"/>
        </w:rPr>
      </w:pPr>
    </w:p>
    <w:p w14:paraId="0940B92B" w14:textId="77777777" w:rsidR="00EF1F64" w:rsidRPr="00EC4F3B" w:rsidRDefault="00EF1F64" w:rsidP="00EF1F64">
      <w:pPr>
        <w:rPr>
          <w:lang w:val="cs-CZ"/>
        </w:rPr>
      </w:pPr>
    </w:p>
    <w:tbl>
      <w:tblPr>
        <w:tblW w:w="13600" w:type="dxa"/>
        <w:tblInd w:w="274" w:type="dxa"/>
        <w:tblLook w:val="04A0" w:firstRow="1" w:lastRow="0" w:firstColumn="1" w:lastColumn="0" w:noHBand="0" w:noVBand="1"/>
      </w:tblPr>
      <w:tblGrid>
        <w:gridCol w:w="5822"/>
        <w:gridCol w:w="4046"/>
        <w:gridCol w:w="3732"/>
      </w:tblGrid>
      <w:tr w:rsidR="00EF1F64" w:rsidRPr="00EC4F3B" w14:paraId="73DDF03E" w14:textId="77777777" w:rsidTr="00D16F76">
        <w:trPr>
          <w:trHeight w:val="280"/>
        </w:trPr>
        <w:tc>
          <w:tcPr>
            <w:tcW w:w="5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C63C4" w14:textId="15DE1B8B" w:rsidR="00EF1F64" w:rsidRPr="00EC4F3B" w:rsidRDefault="00A90D97" w:rsidP="00A90D97">
            <w:pPr>
              <w:pStyle w:val="Odstavecseseznamem"/>
              <w:numPr>
                <w:ilvl w:val="0"/>
                <w:numId w:val="10"/>
              </w:numPr>
              <w:rPr>
                <w:lang w:val="cs-CZ"/>
              </w:rPr>
            </w:pPr>
            <w:r w:rsidRPr="00EC4F3B">
              <w:rPr>
                <w:lang w:val="cs-CZ"/>
              </w:rPr>
              <w:lastRenderedPageBreak/>
              <w:t>ČÍSLO AKCE</w:t>
            </w:r>
          </w:p>
        </w:tc>
        <w:tc>
          <w:tcPr>
            <w:tcW w:w="40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C1212" w14:textId="77777777" w:rsidR="00EF1F64" w:rsidRPr="00EC4F3B" w:rsidRDefault="00EF1F64" w:rsidP="00A90D97">
            <w:pPr>
              <w:rPr>
                <w:lang w:val="cs-CZ"/>
              </w:rPr>
            </w:pPr>
            <w:r w:rsidRPr="00EC4F3B">
              <w:rPr>
                <w:lang w:val="cs-CZ"/>
              </w:rPr>
              <w:t> 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1B66" w14:textId="77777777" w:rsidR="00EF1F64" w:rsidRPr="00EC4F3B" w:rsidRDefault="00EF1F64" w:rsidP="00A90D97">
            <w:pPr>
              <w:rPr>
                <w:lang w:val="cs-CZ"/>
              </w:rPr>
            </w:pPr>
            <w:r w:rsidRPr="00EC4F3B">
              <w:rPr>
                <w:lang w:val="cs-CZ"/>
              </w:rPr>
              <w:t> </w:t>
            </w:r>
          </w:p>
        </w:tc>
      </w:tr>
      <w:tr w:rsidR="00EF1F64" w:rsidRPr="00EC4F3B" w14:paraId="2909ED95" w14:textId="77777777" w:rsidTr="001918A7">
        <w:trPr>
          <w:trHeight w:val="1682"/>
        </w:trPr>
        <w:tc>
          <w:tcPr>
            <w:tcW w:w="5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43581B8" w14:textId="03343A83" w:rsidR="00FA07F9" w:rsidRPr="00EC4F3B" w:rsidRDefault="00FA07F9" w:rsidP="00EF1F64">
            <w:pPr>
              <w:spacing w:after="0" w:line="240" w:lineRule="auto"/>
              <w:jc w:val="both"/>
              <w:rPr>
                <w:b/>
                <w:lang w:val="cs-CZ"/>
              </w:rPr>
            </w:pPr>
            <w:r w:rsidRPr="00EC4F3B">
              <w:rPr>
                <w:b/>
                <w:lang w:val="cs-CZ"/>
              </w:rPr>
              <w:t>Všechny inzeráty obsahují link na web instituce; HRS4R stránku</w:t>
            </w:r>
          </w:p>
          <w:p w14:paraId="237B7115" w14:textId="51BAAA59" w:rsidR="00EF1F64" w:rsidRPr="00EC4F3B" w:rsidRDefault="00EF1F64" w:rsidP="00EF1F64">
            <w:pPr>
              <w:spacing w:after="0" w:line="240" w:lineRule="auto"/>
              <w:jc w:val="both"/>
              <w:rPr>
                <w:lang w:val="cs-CZ"/>
              </w:rPr>
            </w:pPr>
          </w:p>
          <w:p w14:paraId="0125FE77" w14:textId="78747354" w:rsidR="00743179" w:rsidRPr="00EC4F3B" w:rsidRDefault="00743179" w:rsidP="00EF1F64">
            <w:pPr>
              <w:spacing w:after="0" w:line="240" w:lineRule="auto"/>
              <w:jc w:val="both"/>
              <w:rPr>
                <w:lang w:val="cs-CZ"/>
              </w:rPr>
            </w:pPr>
            <w:r w:rsidRPr="00EC4F3B">
              <w:rPr>
                <w:lang w:val="cs-CZ"/>
              </w:rPr>
              <w:t>Všechny inzeráty budou obsahovat prolink na webovou záložku HRS4R, kde je uveřejněna směrnice pro výběrová řízení pro vědecké pracovníky, aby se všichni potenciální kandidáti mohli seznámit s pravidly.</w:t>
            </w:r>
          </w:p>
          <w:p w14:paraId="1A276B8A" w14:textId="77777777" w:rsidR="006D52F3" w:rsidRPr="00EC4F3B" w:rsidRDefault="006D52F3" w:rsidP="00EF1F64">
            <w:pPr>
              <w:spacing w:after="0" w:line="240" w:lineRule="auto"/>
              <w:jc w:val="both"/>
              <w:rPr>
                <w:lang w:val="cs-CZ"/>
              </w:rPr>
            </w:pPr>
          </w:p>
          <w:p w14:paraId="75555210" w14:textId="77777777" w:rsidR="00EF1F64" w:rsidRPr="00EC4F3B" w:rsidRDefault="00EF1F64" w:rsidP="00EF1F64">
            <w:pPr>
              <w:spacing w:after="0" w:line="240" w:lineRule="auto"/>
              <w:jc w:val="both"/>
              <w:rPr>
                <w:lang w:val="cs-CZ"/>
              </w:rPr>
            </w:pPr>
          </w:p>
          <w:p w14:paraId="653A3435" w14:textId="77777777" w:rsidR="00EF1F64" w:rsidRPr="00EC4F3B" w:rsidRDefault="00EF1F64" w:rsidP="00EF1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D3F6" w14:textId="561714CE" w:rsidR="00EF1F64" w:rsidRPr="00EC4F3B" w:rsidRDefault="00F1720A" w:rsidP="00EF1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EF1F64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78F22430" w14:textId="77777777" w:rsidR="004A211F" w:rsidRPr="00EC4F3B" w:rsidRDefault="004A211F" w:rsidP="004A211F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12. Nábor  (+/-)</w:t>
            </w:r>
          </w:p>
          <w:p w14:paraId="7C6340B1" w14:textId="77777777" w:rsidR="004A211F" w:rsidRPr="00EC4F3B" w:rsidRDefault="004A211F" w:rsidP="004A211F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13. Výběr (Kodex) (+/-)</w:t>
            </w:r>
          </w:p>
          <w:p w14:paraId="0567E1CE" w14:textId="040AF0C4" w:rsidR="004A211F" w:rsidRPr="00EC4F3B" w:rsidRDefault="004A211F" w:rsidP="004A211F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15. Transpare</w:t>
            </w:r>
            <w:r w:rsidR="004469CF">
              <w:rPr>
                <w:bCs/>
                <w:lang w:val="cs-CZ"/>
              </w:rPr>
              <w:t>n</w:t>
            </w:r>
            <w:r w:rsidRPr="00EC4F3B">
              <w:rPr>
                <w:bCs/>
                <w:lang w:val="cs-CZ"/>
              </w:rPr>
              <w:t>t</w:t>
            </w:r>
            <w:r w:rsidR="005D6CEB">
              <w:rPr>
                <w:bCs/>
                <w:lang w:val="cs-CZ"/>
              </w:rPr>
              <w:t>n</w:t>
            </w:r>
            <w:r w:rsidRPr="00EC4F3B">
              <w:rPr>
                <w:bCs/>
                <w:lang w:val="cs-CZ"/>
              </w:rPr>
              <w:t>ost (Kodex) (+/-)</w:t>
            </w:r>
          </w:p>
          <w:p w14:paraId="07228AD5" w14:textId="77777777" w:rsidR="00EF1F64" w:rsidRPr="00EC4F3B" w:rsidRDefault="00EF1F64" w:rsidP="00EF1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D2D6" w14:textId="29D5E398" w:rsidR="00EF1F64" w:rsidRPr="00EC4F3B" w:rsidRDefault="001918A7" w:rsidP="00EF1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2C894432" w14:textId="1571FC06" w:rsidR="00EF1F64" w:rsidRPr="00EC4F3B" w:rsidRDefault="006D52F3" w:rsidP="00EF1F64">
            <w:pPr>
              <w:rPr>
                <w:rFonts w:ascii="Calibri" w:eastAsia="Times New Roman" w:hAnsi="Calibri" w:cs="Calibri"/>
                <w:lang w:val="cs-CZ"/>
              </w:rPr>
            </w:pPr>
            <w:r w:rsidRPr="00EC4F3B">
              <w:rPr>
                <w:rFonts w:ascii="Calibri" w:eastAsia="Times New Roman" w:hAnsi="Calibri" w:cs="Calibri"/>
                <w:lang w:val="cs-CZ"/>
              </w:rPr>
              <w:t>2</w:t>
            </w:r>
            <w:r w:rsidR="00EF1F64" w:rsidRPr="00EC4F3B">
              <w:rPr>
                <w:rFonts w:ascii="Calibri" w:eastAsia="Times New Roman" w:hAnsi="Calibri" w:cs="Calibri"/>
                <w:lang w:val="cs-CZ"/>
              </w:rPr>
              <w:t xml:space="preserve">Q/2021 </w:t>
            </w:r>
            <w:r w:rsidR="002045F8" w:rsidRPr="00EC4F3B">
              <w:rPr>
                <w:rFonts w:ascii="Calibri" w:eastAsia="Times New Roman" w:hAnsi="Calibri" w:cs="Calibri"/>
                <w:lang w:val="cs-CZ"/>
              </w:rPr>
              <w:t>začátek, časově neohraničeno</w:t>
            </w:r>
          </w:p>
        </w:tc>
      </w:tr>
      <w:tr w:rsidR="00EF1F64" w:rsidRPr="00EC4F3B" w14:paraId="27E7FA0B" w14:textId="77777777" w:rsidTr="00D16F76">
        <w:trPr>
          <w:trHeight w:val="919"/>
        </w:trPr>
        <w:tc>
          <w:tcPr>
            <w:tcW w:w="5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C488A" w14:textId="77777777" w:rsidR="00EF1F64" w:rsidRPr="00EC4F3B" w:rsidRDefault="00EF1F64" w:rsidP="00EF1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45DB" w14:textId="66ABCB2A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679DE9DD" w14:textId="089A04F9" w:rsidR="001918A7" w:rsidRPr="00EC4F3B" w:rsidRDefault="001918A7" w:rsidP="00FA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41E9D293" w14:textId="77777777" w:rsidR="00EF1F64" w:rsidRPr="00EC4F3B" w:rsidRDefault="00EF1F64" w:rsidP="00191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1E53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1E330ADF" w14:textId="3B90127F" w:rsidR="00FA11F9" w:rsidRPr="00EC4F3B" w:rsidRDefault="001918A7" w:rsidP="00EF1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Všechny inzeráty budou obsahovat prolink na </w:t>
            </w:r>
            <w:r w:rsidRPr="00EC4F3B">
              <w:rPr>
                <w:lang w:val="cs-CZ"/>
              </w:rPr>
              <w:t>HRS4R webovou stránku instituce</w:t>
            </w:r>
          </w:p>
          <w:p w14:paraId="76BC1113" w14:textId="21226A97" w:rsidR="00EF1F64" w:rsidRPr="00EC4F3B" w:rsidRDefault="00EF1F64" w:rsidP="001918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09704075" w14:textId="77777777" w:rsidR="0028350A" w:rsidRPr="00EC4F3B" w:rsidRDefault="0028350A" w:rsidP="0028350A">
      <w:pPr>
        <w:rPr>
          <w:lang w:val="cs-CZ"/>
        </w:rPr>
      </w:pPr>
    </w:p>
    <w:p w14:paraId="32656E6B" w14:textId="30590A77" w:rsidR="0028350A" w:rsidRPr="00EC4F3B" w:rsidRDefault="0028350A" w:rsidP="0028350A">
      <w:pPr>
        <w:rPr>
          <w:lang w:val="cs-CZ"/>
        </w:rPr>
      </w:pPr>
    </w:p>
    <w:p w14:paraId="62F33DBC" w14:textId="28945294" w:rsidR="00D801E8" w:rsidRPr="00EC4F3B" w:rsidRDefault="00D801E8" w:rsidP="0028350A">
      <w:pPr>
        <w:rPr>
          <w:lang w:val="cs-CZ"/>
        </w:rPr>
      </w:pPr>
    </w:p>
    <w:p w14:paraId="5D30C637" w14:textId="33310CA4" w:rsidR="00D801E8" w:rsidRPr="00EC4F3B" w:rsidRDefault="00D801E8" w:rsidP="0028350A">
      <w:pPr>
        <w:rPr>
          <w:lang w:val="cs-CZ"/>
        </w:rPr>
      </w:pPr>
    </w:p>
    <w:p w14:paraId="7BBEAF30" w14:textId="5D53CCCE" w:rsidR="00D801E8" w:rsidRPr="00EC4F3B" w:rsidRDefault="00D801E8" w:rsidP="0028350A">
      <w:pPr>
        <w:rPr>
          <w:lang w:val="cs-CZ"/>
        </w:rPr>
      </w:pPr>
    </w:p>
    <w:p w14:paraId="72E4EB27" w14:textId="531E1BB9" w:rsidR="00D801E8" w:rsidRPr="00EC4F3B" w:rsidRDefault="00D801E8" w:rsidP="0028350A">
      <w:pPr>
        <w:rPr>
          <w:lang w:val="cs-CZ"/>
        </w:rPr>
      </w:pPr>
    </w:p>
    <w:p w14:paraId="451A590E" w14:textId="1ED7478D" w:rsidR="00D801E8" w:rsidRPr="00EC4F3B" w:rsidRDefault="00D801E8" w:rsidP="0028350A">
      <w:pPr>
        <w:rPr>
          <w:lang w:val="cs-CZ"/>
        </w:rPr>
      </w:pPr>
    </w:p>
    <w:p w14:paraId="43E0C16B" w14:textId="2068ED81" w:rsidR="00D801E8" w:rsidRPr="00EC4F3B" w:rsidRDefault="00D801E8" w:rsidP="0028350A">
      <w:pPr>
        <w:rPr>
          <w:lang w:val="cs-CZ"/>
        </w:rPr>
      </w:pPr>
    </w:p>
    <w:p w14:paraId="746C3A36" w14:textId="77022D57" w:rsidR="00D801E8" w:rsidRPr="00EC4F3B" w:rsidRDefault="00D801E8" w:rsidP="0028350A">
      <w:pPr>
        <w:rPr>
          <w:lang w:val="cs-CZ"/>
        </w:rPr>
      </w:pPr>
    </w:p>
    <w:p w14:paraId="6BF36AC8" w14:textId="77777777" w:rsidR="00DD4F2B" w:rsidRPr="00EC4F3B" w:rsidRDefault="00DD4F2B" w:rsidP="0028350A">
      <w:pPr>
        <w:rPr>
          <w:lang w:val="cs-CZ"/>
        </w:rPr>
      </w:pPr>
    </w:p>
    <w:tbl>
      <w:tblPr>
        <w:tblW w:w="13784" w:type="dxa"/>
        <w:tblLook w:val="04A0" w:firstRow="1" w:lastRow="0" w:firstColumn="1" w:lastColumn="0" w:noHBand="0" w:noVBand="1"/>
      </w:tblPr>
      <w:tblGrid>
        <w:gridCol w:w="284"/>
        <w:gridCol w:w="6006"/>
        <w:gridCol w:w="3988"/>
        <w:gridCol w:w="3506"/>
      </w:tblGrid>
      <w:tr w:rsidR="0028350A" w:rsidRPr="00EC4F3B" w14:paraId="2F14A54F" w14:textId="77777777" w:rsidTr="00D16F76"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75C3" w14:textId="77777777" w:rsidR="0028350A" w:rsidRPr="00EC4F3B" w:rsidRDefault="0028350A" w:rsidP="0028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6A476" w14:textId="7ED20FDF" w:rsidR="0028350A" w:rsidRPr="00EC4F3B" w:rsidRDefault="00A90D97" w:rsidP="00A90D97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3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02EFD" w14:textId="77777777" w:rsidR="0028350A" w:rsidRPr="00EC4F3B" w:rsidRDefault="0028350A" w:rsidP="0028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77DDF" w14:textId="77777777" w:rsidR="0028350A" w:rsidRPr="00EC4F3B" w:rsidRDefault="0028350A" w:rsidP="0028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28350A" w:rsidRPr="00EC4F3B" w14:paraId="60B8616D" w14:textId="77777777" w:rsidTr="00D16F76">
        <w:trPr>
          <w:trHeight w:val="11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6A49C" w14:textId="77777777" w:rsidR="0028350A" w:rsidRPr="00EC4F3B" w:rsidRDefault="0028350A" w:rsidP="00EF1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0E829F" w14:textId="2D6354B4" w:rsidR="00E804C8" w:rsidRPr="00EC4F3B" w:rsidRDefault="00E804C8" w:rsidP="002835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Příručka pro výběrová řízení</w:t>
            </w:r>
          </w:p>
          <w:p w14:paraId="3EBD7657" w14:textId="77777777" w:rsidR="005152F9" w:rsidRPr="00EC4F3B" w:rsidRDefault="005152F9" w:rsidP="006D52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007F85CB" w14:textId="6DB47370" w:rsidR="00CF0252" w:rsidRPr="00EC4F3B" w:rsidRDefault="00CF0252" w:rsidP="006D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Příručka bude obsahovat doporučení, jak postupovat při pohovorech, jak se vhodnou formou zeptat na informace, které nás zajímají, přitom ptát se na ně může být kontroverzní. Dále bude obsahovat </w:t>
            </w:r>
            <w:r w:rsidR="007878E8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příklady otázek, které jsou zcela zakázané. </w:t>
            </w:r>
          </w:p>
          <w:p w14:paraId="18389436" w14:textId="1C974F17" w:rsidR="007878E8" w:rsidRPr="00EC4F3B" w:rsidRDefault="007878E8" w:rsidP="007878E8">
            <w:pPr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Tato příručka podpoří školení, které je podle pravidel Kodexu chování při výběru vědeckých pracovníků nutné pro všechny členy výběrových komisí a má jej poskytnout HR manažer.</w:t>
            </w:r>
          </w:p>
          <w:p w14:paraId="06C90BC3" w14:textId="77777777" w:rsidR="00EF1F64" w:rsidRPr="00EC4F3B" w:rsidRDefault="00EF1F64" w:rsidP="0028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69D4F44E" w14:textId="77777777" w:rsidR="0028350A" w:rsidRPr="00EC4F3B" w:rsidRDefault="0028350A" w:rsidP="002835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29AD4495" w14:textId="77777777" w:rsidR="0028350A" w:rsidRPr="00EC4F3B" w:rsidRDefault="0028350A" w:rsidP="002835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772CBF59" w14:textId="77777777" w:rsidR="0028350A" w:rsidRPr="00EC4F3B" w:rsidRDefault="0028350A" w:rsidP="0028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B485" w14:textId="2D1C3EA8" w:rsidR="0028350A" w:rsidRPr="00EC4F3B" w:rsidRDefault="0028350A" w:rsidP="0028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</w:t>
            </w:r>
            <w:r w:rsidR="00F1720A"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y</w:t>
            </w: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7EBD6F43" w14:textId="77777777" w:rsidR="004A211F" w:rsidRPr="00EC4F3B" w:rsidRDefault="004A211F" w:rsidP="004A211F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12. Nábor  (+/-)</w:t>
            </w:r>
          </w:p>
          <w:p w14:paraId="097DF3C5" w14:textId="77777777" w:rsidR="004A211F" w:rsidRPr="00EC4F3B" w:rsidRDefault="004A211F" w:rsidP="004A211F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14. Nábor (Kodex) (+/-)</w:t>
            </w:r>
          </w:p>
          <w:p w14:paraId="1E4957E3" w14:textId="77777777" w:rsidR="004A211F" w:rsidRPr="00EC4F3B" w:rsidRDefault="004A211F" w:rsidP="0028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3C412282" w14:textId="77777777" w:rsidR="0028350A" w:rsidRPr="00EC4F3B" w:rsidRDefault="0028350A" w:rsidP="0028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29D59B23" w14:textId="77777777" w:rsidR="0028350A" w:rsidRPr="00EC4F3B" w:rsidRDefault="0028350A" w:rsidP="0028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5341" w14:textId="7B8F4BBA" w:rsidR="0028350A" w:rsidRPr="00EC4F3B" w:rsidRDefault="001918A7" w:rsidP="00283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4E5F874E" w14:textId="77777777" w:rsidR="0028350A" w:rsidRPr="00EC4F3B" w:rsidRDefault="00A90B21" w:rsidP="0028350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1Q/2022</w:t>
            </w:r>
          </w:p>
          <w:p w14:paraId="41D69900" w14:textId="77777777" w:rsidR="00001C19" w:rsidRPr="00EC4F3B" w:rsidRDefault="00001C19" w:rsidP="0028350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</w:p>
        </w:tc>
      </w:tr>
      <w:tr w:rsidR="0028350A" w:rsidRPr="00EC4F3B" w14:paraId="313F99EC" w14:textId="77777777" w:rsidTr="00D16F76">
        <w:trPr>
          <w:trHeight w:val="9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76EE" w14:textId="77777777" w:rsidR="0028350A" w:rsidRPr="00EC4F3B" w:rsidRDefault="0028350A" w:rsidP="00283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54441" w14:textId="77777777" w:rsidR="0028350A" w:rsidRPr="00EC4F3B" w:rsidRDefault="0028350A" w:rsidP="0028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08C5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0FD3B792" w14:textId="0C4DABDC" w:rsidR="00FA11F9" w:rsidRPr="00EC4F3B" w:rsidRDefault="005152F9" w:rsidP="0028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2721ADCC" w14:textId="77777777" w:rsidR="0028350A" w:rsidRPr="00EC4F3B" w:rsidRDefault="0028350A" w:rsidP="00515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DA2A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480922C5" w14:textId="5DB9389F" w:rsidR="00FA11F9" w:rsidRPr="00EC4F3B" w:rsidRDefault="005152F9" w:rsidP="00283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Příručka pro výběrová řízení k dispozici na</w:t>
            </w: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 xml:space="preserve"> </w:t>
            </w: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HRS4R webové stránce instituce. Všichni hodnotitelé zahrnutí do výběrových řízení budou s jejím obsahem seznámeni, což potvrdí svým podpisem.</w:t>
            </w:r>
          </w:p>
          <w:p w14:paraId="1AC9228F" w14:textId="25BE14E3" w:rsidR="00A90B21" w:rsidRPr="00EC4F3B" w:rsidRDefault="00A90B21" w:rsidP="00515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7000C1A2" w14:textId="77777777" w:rsidR="00515B04" w:rsidRPr="00EC4F3B" w:rsidRDefault="00515B04" w:rsidP="004850C5">
      <w:pPr>
        <w:rPr>
          <w:lang w:val="cs-CZ"/>
        </w:rPr>
      </w:pPr>
    </w:p>
    <w:p w14:paraId="681147F4" w14:textId="55ED4546" w:rsidR="00D04CBA" w:rsidRPr="00EC4F3B" w:rsidRDefault="00D04CBA" w:rsidP="004850C5">
      <w:pPr>
        <w:rPr>
          <w:lang w:val="cs-CZ"/>
        </w:rPr>
      </w:pPr>
    </w:p>
    <w:p w14:paraId="0A875F95" w14:textId="066A7FBE" w:rsidR="00B4656B" w:rsidRPr="00EC4F3B" w:rsidRDefault="00B4656B" w:rsidP="004850C5">
      <w:pPr>
        <w:rPr>
          <w:lang w:val="cs-CZ"/>
        </w:rPr>
      </w:pPr>
    </w:p>
    <w:p w14:paraId="3EB360BC" w14:textId="0292D56E" w:rsidR="00B4656B" w:rsidRPr="00EC4F3B" w:rsidRDefault="00B4656B" w:rsidP="004850C5">
      <w:pPr>
        <w:rPr>
          <w:lang w:val="cs-CZ"/>
        </w:rPr>
      </w:pPr>
    </w:p>
    <w:p w14:paraId="56129B3A" w14:textId="77777777" w:rsidR="00B4656B" w:rsidRPr="00EC4F3B" w:rsidRDefault="00B4656B" w:rsidP="004850C5">
      <w:pPr>
        <w:rPr>
          <w:lang w:val="cs-CZ"/>
        </w:rPr>
      </w:pPr>
    </w:p>
    <w:p w14:paraId="41FCA3AB" w14:textId="394F0E37" w:rsidR="002F6F16" w:rsidRPr="00EC4F3B" w:rsidRDefault="002F6F16" w:rsidP="004850C5">
      <w:pPr>
        <w:rPr>
          <w:lang w:val="cs-CZ"/>
        </w:rPr>
      </w:pPr>
    </w:p>
    <w:p w14:paraId="1D423126" w14:textId="77777777" w:rsidR="002F6F16" w:rsidRPr="00EC4F3B" w:rsidRDefault="002F6F16" w:rsidP="004850C5">
      <w:pPr>
        <w:rPr>
          <w:lang w:val="cs-CZ"/>
        </w:rPr>
      </w:pPr>
    </w:p>
    <w:p w14:paraId="7A024F40" w14:textId="77777777" w:rsidR="00D374FC" w:rsidRPr="00EC4F3B" w:rsidRDefault="00D374FC" w:rsidP="00D374FC">
      <w:pPr>
        <w:rPr>
          <w:lang w:val="cs-CZ"/>
        </w:rPr>
      </w:pPr>
    </w:p>
    <w:tbl>
      <w:tblPr>
        <w:tblW w:w="13874" w:type="dxa"/>
        <w:tblLook w:val="04A0" w:firstRow="1" w:lastRow="0" w:firstColumn="1" w:lastColumn="0" w:noHBand="0" w:noVBand="1"/>
      </w:tblPr>
      <w:tblGrid>
        <w:gridCol w:w="284"/>
        <w:gridCol w:w="6096"/>
        <w:gridCol w:w="3898"/>
        <w:gridCol w:w="3596"/>
      </w:tblGrid>
      <w:tr w:rsidR="00D374FC" w:rsidRPr="00EC4F3B" w14:paraId="554A5419" w14:textId="77777777" w:rsidTr="00D16F76"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54DE" w14:textId="77777777" w:rsidR="00D374FC" w:rsidRPr="00EC4F3B" w:rsidRDefault="00D374FC" w:rsidP="00D3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A3FD" w14:textId="0509B052" w:rsidR="00D374FC" w:rsidRPr="00EC4F3B" w:rsidRDefault="00A90D97" w:rsidP="00A90D97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2E47F" w14:textId="77777777" w:rsidR="00D374FC" w:rsidRPr="00EC4F3B" w:rsidRDefault="00D374FC" w:rsidP="00D3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4AFD5" w14:textId="77777777" w:rsidR="00D374FC" w:rsidRPr="00EC4F3B" w:rsidRDefault="00D374FC" w:rsidP="00D3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D374FC" w:rsidRPr="00EC4F3B" w14:paraId="68E45332" w14:textId="77777777" w:rsidTr="00D16F76">
        <w:trPr>
          <w:trHeight w:val="11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91521" w14:textId="77777777" w:rsidR="00D374FC" w:rsidRPr="00EC4F3B" w:rsidRDefault="00D374FC" w:rsidP="00D37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F6C230" w14:textId="59103C9F" w:rsidR="00F24BC1" w:rsidRPr="00EC4F3B" w:rsidRDefault="00F24BC1" w:rsidP="00F24BC1">
            <w:pPr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b/>
                <w:lang w:val="cs-CZ"/>
              </w:rPr>
              <w:t xml:space="preserve">Školení postupu při výběrových řízeních dle </w:t>
            </w:r>
            <w:r w:rsidR="00CB3C88"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pravidel</w:t>
            </w: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 xml:space="preserve"> Kodexu chování při výběru vědeckých pracovníků</w:t>
            </w:r>
            <w:r w:rsidR="00CB3C88"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 xml:space="preserve"> (OTM-R Training)</w:t>
            </w:r>
          </w:p>
          <w:p w14:paraId="5833074C" w14:textId="529C3E79" w:rsidR="00F24BC1" w:rsidRPr="00EC4F3B" w:rsidRDefault="00CB3C88" w:rsidP="00D374FC">
            <w:pPr>
              <w:spacing w:after="0" w:line="240" w:lineRule="auto"/>
              <w:jc w:val="both"/>
              <w:rPr>
                <w:lang w:val="cs-CZ"/>
              </w:rPr>
            </w:pPr>
            <w:r w:rsidRPr="00EC4F3B">
              <w:rPr>
                <w:lang w:val="cs-CZ"/>
              </w:rPr>
              <w:t>Dle pravidel mají být všichni členové výběrových komisí proškoleni podle výše uvedených pravidel. Školení je na vyžádání poskytováno všem zájemcům prostřednictvím zaměstnanců Personálního oddělení.</w:t>
            </w:r>
          </w:p>
          <w:p w14:paraId="364F798B" w14:textId="18235845" w:rsidR="00F226FF" w:rsidRDefault="00D374FC" w:rsidP="00D374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</w:t>
            </w:r>
          </w:p>
          <w:p w14:paraId="1EFE108E" w14:textId="77777777" w:rsidR="00D374FC" w:rsidRPr="00F226FF" w:rsidRDefault="00D374FC" w:rsidP="00F226FF">
            <w:pPr>
              <w:jc w:val="right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AC2A" w14:textId="26B8941A" w:rsidR="004A211F" w:rsidRPr="00EC4F3B" w:rsidRDefault="00F1720A" w:rsidP="00D3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D374FC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</w:t>
            </w:r>
          </w:p>
          <w:p w14:paraId="12B5AF1D" w14:textId="77777777" w:rsidR="004A211F" w:rsidRPr="00EC4F3B" w:rsidRDefault="004A211F" w:rsidP="004A211F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12. Nábor  (+/-)</w:t>
            </w:r>
          </w:p>
          <w:p w14:paraId="5F0B9592" w14:textId="77777777" w:rsidR="004A211F" w:rsidRPr="00EC4F3B" w:rsidRDefault="004A211F" w:rsidP="004A211F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14. Nábor (Kodex) (+/-)</w:t>
            </w:r>
          </w:p>
          <w:p w14:paraId="21F69720" w14:textId="335784C1" w:rsidR="00D374FC" w:rsidRPr="00EC4F3B" w:rsidRDefault="00D374FC" w:rsidP="00D3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 </w:t>
            </w:r>
          </w:p>
          <w:p w14:paraId="33FABA91" w14:textId="77777777" w:rsidR="00055CE1" w:rsidRPr="00EC4F3B" w:rsidRDefault="00055CE1" w:rsidP="004A211F">
            <w:pPr>
              <w:spacing w:after="0"/>
              <w:rPr>
                <w:bCs/>
                <w:lang w:val="cs-CZ"/>
              </w:rPr>
            </w:pPr>
          </w:p>
          <w:p w14:paraId="03BE20D7" w14:textId="77777777" w:rsidR="00D374FC" w:rsidRPr="00EC4F3B" w:rsidRDefault="00D374FC" w:rsidP="002F6F16">
            <w:pPr>
              <w:spacing w:after="0"/>
              <w:ind w:left="2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99BE" w14:textId="7B48FC6C" w:rsidR="00D374FC" w:rsidRPr="00EC4F3B" w:rsidRDefault="005152F9" w:rsidP="00D37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555CEC5B" w14:textId="77777777" w:rsidR="00D374FC" w:rsidRPr="00EC4F3B" w:rsidRDefault="00D374FC" w:rsidP="00D374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2Q/2021</w:t>
            </w:r>
          </w:p>
        </w:tc>
      </w:tr>
      <w:tr w:rsidR="00D374FC" w:rsidRPr="00EC4F3B" w14:paraId="7EE9B02F" w14:textId="77777777" w:rsidTr="00D16F76">
        <w:trPr>
          <w:trHeight w:val="9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93D6" w14:textId="77777777" w:rsidR="00D374FC" w:rsidRPr="00EC4F3B" w:rsidRDefault="00D374FC" w:rsidP="00D37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C3715" w14:textId="77777777" w:rsidR="00D374FC" w:rsidRPr="00EC4F3B" w:rsidRDefault="00D374FC" w:rsidP="00D3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76EE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5475F55B" w14:textId="3B559E52" w:rsidR="00FA11F9" w:rsidRPr="00EC4F3B" w:rsidRDefault="005152F9" w:rsidP="00D3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4BD296FD" w14:textId="5EA78DF9" w:rsidR="00D374FC" w:rsidRPr="00EC4F3B" w:rsidRDefault="00D374FC" w:rsidP="00D3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3313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66D19C89" w14:textId="4D8A14FE" w:rsidR="00FA11F9" w:rsidRPr="00F226FF" w:rsidRDefault="005152F9" w:rsidP="00D3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F226FF">
              <w:rPr>
                <w:rFonts w:ascii="Calibri" w:eastAsia="Times New Roman" w:hAnsi="Calibri" w:cs="Calibri"/>
                <w:color w:val="000000"/>
                <w:lang w:val="cs-CZ"/>
              </w:rPr>
              <w:t>Nabídka školení OTM-R publikována na našem webu.</w:t>
            </w:r>
          </w:p>
          <w:p w14:paraId="45543083" w14:textId="4E5A2E34" w:rsidR="005152F9" w:rsidRPr="00F226FF" w:rsidRDefault="005152F9" w:rsidP="00D37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F226FF">
              <w:rPr>
                <w:rFonts w:ascii="Calibri" w:eastAsia="Times New Roman" w:hAnsi="Calibri" w:cs="Calibri"/>
                <w:color w:val="000000"/>
                <w:lang w:val="cs-CZ"/>
              </w:rPr>
              <w:t xml:space="preserve">Všichni členové výběrových komisí pro vědecké </w:t>
            </w:r>
            <w:r w:rsidR="00723EC5" w:rsidRPr="00F226FF">
              <w:rPr>
                <w:rFonts w:ascii="Calibri" w:eastAsia="Times New Roman" w:hAnsi="Calibri" w:cs="Calibri"/>
                <w:color w:val="000000"/>
                <w:lang w:val="cs-CZ"/>
              </w:rPr>
              <w:t>pracovníky proškoleni Personálním úsekem v této věci.</w:t>
            </w:r>
          </w:p>
          <w:p w14:paraId="15B5EA49" w14:textId="4359F6B3" w:rsidR="00D374FC" w:rsidRPr="00EC4F3B" w:rsidRDefault="00D374FC" w:rsidP="00A9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6618E7B8" w14:textId="356A14AA" w:rsidR="00D374FC" w:rsidRPr="00EC4F3B" w:rsidRDefault="00D374FC" w:rsidP="00D374FC">
      <w:pPr>
        <w:rPr>
          <w:lang w:val="cs-CZ"/>
        </w:rPr>
      </w:pPr>
    </w:p>
    <w:p w14:paraId="41A7835E" w14:textId="52677D2C" w:rsidR="00B4656B" w:rsidRPr="00EC4F3B" w:rsidRDefault="00B4656B" w:rsidP="00D374FC">
      <w:pPr>
        <w:rPr>
          <w:lang w:val="cs-CZ"/>
        </w:rPr>
      </w:pPr>
    </w:p>
    <w:p w14:paraId="6739DA86" w14:textId="318122D8" w:rsidR="00B4656B" w:rsidRPr="00EC4F3B" w:rsidRDefault="00B4656B" w:rsidP="00D374FC">
      <w:pPr>
        <w:rPr>
          <w:lang w:val="cs-CZ"/>
        </w:rPr>
      </w:pPr>
    </w:p>
    <w:p w14:paraId="42227BFB" w14:textId="3FFB18E9" w:rsidR="00B4656B" w:rsidRPr="00EC4F3B" w:rsidRDefault="00B4656B" w:rsidP="00D374FC">
      <w:pPr>
        <w:rPr>
          <w:lang w:val="cs-CZ"/>
        </w:rPr>
      </w:pPr>
    </w:p>
    <w:p w14:paraId="1EF77C7C" w14:textId="176F72B9" w:rsidR="00B4656B" w:rsidRPr="00EC4F3B" w:rsidRDefault="00B4656B" w:rsidP="00D374FC">
      <w:pPr>
        <w:rPr>
          <w:lang w:val="cs-CZ"/>
        </w:rPr>
      </w:pPr>
    </w:p>
    <w:p w14:paraId="2990D63C" w14:textId="34778A06" w:rsidR="00B4656B" w:rsidRPr="00EC4F3B" w:rsidRDefault="00B4656B" w:rsidP="00D374FC">
      <w:pPr>
        <w:rPr>
          <w:lang w:val="cs-CZ"/>
        </w:rPr>
      </w:pPr>
    </w:p>
    <w:p w14:paraId="68F6D3EE" w14:textId="602D43CD" w:rsidR="00B4656B" w:rsidRPr="00EC4F3B" w:rsidRDefault="00B4656B" w:rsidP="00D374FC">
      <w:pPr>
        <w:rPr>
          <w:lang w:val="cs-CZ"/>
        </w:rPr>
      </w:pPr>
    </w:p>
    <w:p w14:paraId="438EF05B" w14:textId="5DA7A794" w:rsidR="00B4656B" w:rsidRPr="00EC4F3B" w:rsidRDefault="00B4656B" w:rsidP="00D374FC">
      <w:pPr>
        <w:rPr>
          <w:lang w:val="cs-CZ"/>
        </w:rPr>
      </w:pPr>
    </w:p>
    <w:p w14:paraId="08EF0DB3" w14:textId="1C836BB5" w:rsidR="00B4656B" w:rsidRPr="00EC4F3B" w:rsidRDefault="00B4656B" w:rsidP="00B61C2D">
      <w:pPr>
        <w:tabs>
          <w:tab w:val="left" w:pos="2480"/>
        </w:tabs>
        <w:rPr>
          <w:lang w:val="cs-CZ"/>
        </w:rPr>
      </w:pPr>
    </w:p>
    <w:p w14:paraId="647E665E" w14:textId="77777777" w:rsidR="00993268" w:rsidRPr="00EC4F3B" w:rsidRDefault="00993268" w:rsidP="00993268">
      <w:pPr>
        <w:rPr>
          <w:lang w:val="cs-CZ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284"/>
        <w:gridCol w:w="6006"/>
        <w:gridCol w:w="4078"/>
        <w:gridCol w:w="3524"/>
      </w:tblGrid>
      <w:tr w:rsidR="00993268" w:rsidRPr="00EC4F3B" w14:paraId="24F4DFAF" w14:textId="77777777" w:rsidTr="002E4CEE"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0CE6" w14:textId="77777777" w:rsidR="00993268" w:rsidRPr="00EC4F3B" w:rsidRDefault="00993268" w:rsidP="002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DAAD9" w14:textId="61AF229C" w:rsidR="00993268" w:rsidRPr="00EC4F3B" w:rsidRDefault="00A90D97" w:rsidP="00A90D97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011C4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631E4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993268" w:rsidRPr="00EC4F3B" w14:paraId="22BC4C9B" w14:textId="77777777" w:rsidTr="00993268">
        <w:trPr>
          <w:trHeight w:val="11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F212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D9490E6" w14:textId="74C1B807" w:rsidR="00993268" w:rsidRPr="00EC4F3B" w:rsidRDefault="001342B6" w:rsidP="00993268">
            <w:pPr>
              <w:spacing w:after="0" w:line="240" w:lineRule="auto"/>
              <w:rPr>
                <w:rFonts w:ascii="Calibri" w:eastAsia="Times New Roman" w:hAnsi="Calibri" w:cs="Calibri"/>
                <w:b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lang w:val="cs-CZ"/>
              </w:rPr>
              <w:t>Vytvoření webové stránky HRS4R</w:t>
            </w:r>
          </w:p>
          <w:p w14:paraId="6EAD9869" w14:textId="3AB4D5E4" w:rsidR="001342B6" w:rsidRPr="00EC4F3B" w:rsidRDefault="00690B96" w:rsidP="00993268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EC4F3B">
              <w:rPr>
                <w:rFonts w:ascii="Calibri" w:eastAsia="Times New Roman" w:hAnsi="Calibri" w:cs="Calibri"/>
                <w:lang w:val="cs-CZ"/>
              </w:rPr>
              <w:t>N</w:t>
            </w:r>
            <w:r w:rsidR="001342B6" w:rsidRPr="00EC4F3B">
              <w:rPr>
                <w:rFonts w:ascii="Calibri" w:eastAsia="Times New Roman" w:hAnsi="Calibri" w:cs="Calibri"/>
                <w:lang w:val="cs-CZ"/>
              </w:rPr>
              <w:t>a webu instituce bude vytvořena st</w:t>
            </w:r>
            <w:r w:rsidRPr="00EC4F3B">
              <w:rPr>
                <w:rFonts w:ascii="Calibri" w:eastAsia="Times New Roman" w:hAnsi="Calibri" w:cs="Calibri"/>
                <w:lang w:val="cs-CZ"/>
              </w:rPr>
              <w:t xml:space="preserve">ránka HRS4R obsahující dokumenty, které byly přijaty v rámci HR AWARD. </w:t>
            </w:r>
          </w:p>
          <w:p w14:paraId="6ED48D9A" w14:textId="1376F09C" w:rsidR="00690B96" w:rsidRPr="00EC4F3B" w:rsidRDefault="00690B96" w:rsidP="00993268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EC4F3B">
              <w:rPr>
                <w:rFonts w:ascii="Calibri" w:eastAsia="Times New Roman" w:hAnsi="Calibri" w:cs="Calibri"/>
                <w:lang w:val="cs-CZ"/>
              </w:rPr>
              <w:t>Konkrétně se bude jednat o:</w:t>
            </w:r>
          </w:p>
          <w:p w14:paraId="7787CB20" w14:textId="77777777" w:rsidR="00993268" w:rsidRPr="00EC4F3B" w:rsidRDefault="00993268" w:rsidP="00993268">
            <w:pPr>
              <w:spacing w:after="0" w:line="240" w:lineRule="auto"/>
              <w:rPr>
                <w:rFonts w:ascii="Calibri" w:eastAsia="Times New Roman" w:hAnsi="Calibri" w:cs="Calibri"/>
                <w:b/>
                <w:lang w:val="cs-CZ"/>
              </w:rPr>
            </w:pPr>
          </w:p>
          <w:p w14:paraId="7CBD74AF" w14:textId="228A0E3A" w:rsidR="00690B96" w:rsidRPr="00EC4F3B" w:rsidRDefault="00690B96" w:rsidP="0099326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EC4F3B">
              <w:rPr>
                <w:rFonts w:ascii="Calibri" w:eastAsia="Times New Roman" w:hAnsi="Calibri" w:cs="Calibri"/>
                <w:lang w:val="cs-CZ"/>
              </w:rPr>
              <w:t>Směrnici pro výběrová řízení vědeckých pracovníků včetně vyhodnocovacích formulářů. Směrnice bude publikována česky i anglicky.</w:t>
            </w:r>
          </w:p>
          <w:p w14:paraId="1C1DF72A" w14:textId="651E28F3" w:rsidR="00690B96" w:rsidRPr="00EC4F3B" w:rsidRDefault="00690B96" w:rsidP="00690B9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EC4F3B">
              <w:rPr>
                <w:rFonts w:ascii="Calibri" w:eastAsia="Times New Roman" w:hAnsi="Calibri" w:cs="Calibri"/>
                <w:lang w:val="cs-CZ"/>
              </w:rPr>
              <w:t>Příručku pro výběrová řízení (akce číslo 5)</w:t>
            </w:r>
          </w:p>
          <w:p w14:paraId="33221D86" w14:textId="6F9009DE" w:rsidR="007B5C7A" w:rsidRPr="00EC4F3B" w:rsidRDefault="00993268" w:rsidP="007B5C7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EC4F3B">
              <w:rPr>
                <w:rFonts w:ascii="Calibri" w:eastAsia="Times New Roman" w:hAnsi="Calibri" w:cs="Calibri"/>
                <w:lang w:val="cs-CZ"/>
              </w:rPr>
              <w:t>Welcome Office Progra</w:t>
            </w:r>
            <w:r w:rsidR="00690B96" w:rsidRPr="00EC4F3B">
              <w:rPr>
                <w:rFonts w:ascii="Calibri" w:eastAsia="Times New Roman" w:hAnsi="Calibri" w:cs="Calibri"/>
                <w:lang w:val="cs-CZ"/>
              </w:rPr>
              <w:t xml:space="preserve">m </w:t>
            </w:r>
            <w:r w:rsidRPr="00EC4F3B">
              <w:rPr>
                <w:rFonts w:ascii="Calibri" w:eastAsia="Times New Roman" w:hAnsi="Calibri" w:cs="Calibri"/>
                <w:lang w:val="cs-CZ"/>
              </w:rPr>
              <w:t>(</w:t>
            </w:r>
            <w:r w:rsidR="007B5C7A" w:rsidRPr="00EC4F3B">
              <w:rPr>
                <w:rFonts w:ascii="Calibri" w:eastAsia="Times New Roman" w:hAnsi="Calibri" w:cs="Calibri"/>
                <w:lang w:val="cs-CZ"/>
              </w:rPr>
              <w:t>včetně Adaptačního programu)</w:t>
            </w:r>
          </w:p>
          <w:p w14:paraId="03D78F1A" w14:textId="4E1151F3" w:rsidR="007B5C7A" w:rsidRPr="00EC4F3B" w:rsidRDefault="007B5C7A" w:rsidP="007B5C7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EC4F3B">
              <w:rPr>
                <w:rFonts w:ascii="Calibri" w:eastAsia="Times New Roman" w:hAnsi="Calibri" w:cs="Calibri"/>
                <w:lang w:val="cs-CZ"/>
              </w:rPr>
              <w:t>Etický kodex ÚŽFG</w:t>
            </w:r>
          </w:p>
          <w:p w14:paraId="5C3C3167" w14:textId="3162C3B4" w:rsidR="00B4656B" w:rsidRPr="00EC4F3B" w:rsidRDefault="007B5C7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lang w:val="cs-CZ"/>
              </w:rPr>
            </w:pPr>
            <w:r w:rsidRPr="00EC4F3B">
              <w:rPr>
                <w:lang w:val="cs-CZ"/>
              </w:rPr>
              <w:t>Kariérní řád</w:t>
            </w:r>
            <w:r w:rsidR="00993268" w:rsidRPr="00EC4F3B">
              <w:rPr>
                <w:lang w:val="cs-CZ"/>
              </w:rPr>
              <w:t xml:space="preserve"> </w:t>
            </w:r>
          </w:p>
          <w:p w14:paraId="2A58C7FF" w14:textId="2E0169FD" w:rsidR="007B5C7A" w:rsidRPr="00EC4F3B" w:rsidRDefault="007B5C7A" w:rsidP="005D0A9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EC4F3B">
              <w:rPr>
                <w:rFonts w:ascii="Calibri" w:eastAsia="Times New Roman" w:hAnsi="Calibri" w:cs="Calibri"/>
                <w:lang w:val="cs-CZ"/>
              </w:rPr>
              <w:t>Další důležité dokumenty z oblasti řízení lidských zdrojů, které budou průběžně doplňovány.</w:t>
            </w:r>
          </w:p>
          <w:p w14:paraId="04EDD948" w14:textId="1EC9205D" w:rsidR="007B5C7A" w:rsidRPr="00EC4F3B" w:rsidRDefault="001E6739" w:rsidP="0099326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EC4F3B">
              <w:rPr>
                <w:rFonts w:ascii="Calibri" w:eastAsia="Times New Roman" w:hAnsi="Calibri" w:cs="Calibri"/>
                <w:lang w:val="cs-CZ"/>
              </w:rPr>
              <w:t>Otevřená školení, organizovaná na pracovišti</w:t>
            </w:r>
          </w:p>
          <w:p w14:paraId="5F012504" w14:textId="0AEA2032" w:rsidR="0057447A" w:rsidRPr="00EC4F3B" w:rsidRDefault="0057447A" w:rsidP="001E6739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</w:p>
          <w:p w14:paraId="49F5E6EA" w14:textId="77777777" w:rsidR="00993268" w:rsidRPr="00EC4F3B" w:rsidRDefault="00993268" w:rsidP="002E4C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A4EF" w14:textId="08BC4412" w:rsidR="007D0878" w:rsidRPr="00EC4F3B" w:rsidRDefault="00F1720A" w:rsidP="007D0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7D0878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4D57A9BF" w14:textId="77777777" w:rsidR="004A211F" w:rsidRPr="00EC4F3B" w:rsidRDefault="004A211F" w:rsidP="004A211F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12. Nábor  (+/-)</w:t>
            </w:r>
          </w:p>
          <w:p w14:paraId="1A030D9B" w14:textId="32C34694" w:rsidR="004A211F" w:rsidRPr="00EC4F3B" w:rsidRDefault="004A211F" w:rsidP="004A211F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15. Transpare</w:t>
            </w:r>
            <w:r w:rsidR="004469CF">
              <w:rPr>
                <w:bCs/>
                <w:lang w:val="cs-CZ"/>
              </w:rPr>
              <w:t>n</w:t>
            </w:r>
            <w:r w:rsidRPr="00EC4F3B">
              <w:rPr>
                <w:bCs/>
                <w:lang w:val="cs-CZ"/>
              </w:rPr>
              <w:t>t</w:t>
            </w:r>
            <w:r w:rsidR="005D6CEB">
              <w:rPr>
                <w:bCs/>
                <w:lang w:val="cs-CZ"/>
              </w:rPr>
              <w:t>n</w:t>
            </w:r>
            <w:r w:rsidRPr="00EC4F3B">
              <w:rPr>
                <w:bCs/>
                <w:lang w:val="cs-CZ"/>
              </w:rPr>
              <w:t>ost (Kodex) (+/-)</w:t>
            </w:r>
          </w:p>
          <w:p w14:paraId="52BBC5C0" w14:textId="77777777" w:rsidR="00993268" w:rsidRPr="00EC4F3B" w:rsidRDefault="00993268" w:rsidP="004A211F">
            <w:pPr>
              <w:spacing w:after="0"/>
              <w:ind w:left="2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4A85" w14:textId="01F79509" w:rsidR="00993268" w:rsidRPr="00EC4F3B" w:rsidRDefault="00723EC5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4D8E1AED" w14:textId="08A283CD" w:rsidR="002045F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EC4F3B">
              <w:rPr>
                <w:rFonts w:ascii="Calibri" w:eastAsia="Times New Roman" w:hAnsi="Calibri" w:cs="Calibri"/>
                <w:lang w:val="cs-CZ"/>
              </w:rPr>
              <w:t xml:space="preserve">1Q/2021 </w:t>
            </w:r>
            <w:r w:rsidR="002045F8" w:rsidRPr="00EC4F3B">
              <w:rPr>
                <w:rFonts w:ascii="Calibri" w:eastAsia="Times New Roman" w:hAnsi="Calibri" w:cs="Calibri"/>
                <w:lang w:val="cs-CZ"/>
              </w:rPr>
              <w:t>začátek, časově neohraničeno</w:t>
            </w:r>
          </w:p>
          <w:p w14:paraId="3B9D75C8" w14:textId="01770C56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</w:p>
        </w:tc>
      </w:tr>
      <w:tr w:rsidR="00993268" w:rsidRPr="00EC4F3B" w14:paraId="15FC662D" w14:textId="77777777" w:rsidTr="002E4CEE">
        <w:trPr>
          <w:trHeight w:val="9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8CB5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9D0A6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3E3D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0691BCA2" w14:textId="432D850A" w:rsidR="00FA11F9" w:rsidRPr="00EC4F3B" w:rsidRDefault="00723EC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4455AA82" w14:textId="0B0F23DC" w:rsidR="00723EC5" w:rsidRPr="00EC4F3B" w:rsidRDefault="00723EC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IT tým</w:t>
            </w:r>
          </w:p>
          <w:p w14:paraId="4D987A30" w14:textId="5EDF61B9" w:rsidR="00993268" w:rsidRPr="00EC4F3B" w:rsidRDefault="00F51770" w:rsidP="00F5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0507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60FD39B0" w14:textId="124217A3" w:rsidR="00FA11F9" w:rsidRPr="00EC4F3B" w:rsidRDefault="00723EC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Existence HRS4R webové stránky</w:t>
            </w:r>
          </w:p>
          <w:p w14:paraId="303FADD4" w14:textId="77777777" w:rsidR="00993268" w:rsidRPr="00EC4F3B" w:rsidRDefault="00993268" w:rsidP="0072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0EE87CC1" w14:textId="77777777" w:rsidR="00993268" w:rsidRPr="00EC4F3B" w:rsidRDefault="00993268" w:rsidP="00993268">
      <w:pPr>
        <w:rPr>
          <w:lang w:val="cs-CZ"/>
        </w:rPr>
      </w:pPr>
    </w:p>
    <w:p w14:paraId="0806B8A1" w14:textId="77777777" w:rsidR="00D04CBA" w:rsidRPr="00EC4F3B" w:rsidRDefault="00D04CBA" w:rsidP="00D04CBA">
      <w:pPr>
        <w:rPr>
          <w:lang w:val="cs-CZ"/>
        </w:rPr>
      </w:pPr>
    </w:p>
    <w:p w14:paraId="04E5BB07" w14:textId="77777777" w:rsidR="00D04CBA" w:rsidRPr="00EC4F3B" w:rsidRDefault="00D04CBA" w:rsidP="00D04CBA">
      <w:pPr>
        <w:rPr>
          <w:lang w:val="cs-CZ"/>
        </w:rPr>
      </w:pPr>
    </w:p>
    <w:p w14:paraId="7C44BA68" w14:textId="77777777" w:rsidR="00A7298C" w:rsidRPr="00EC4F3B" w:rsidRDefault="00A7298C" w:rsidP="00D04CBA">
      <w:pPr>
        <w:rPr>
          <w:lang w:val="cs-CZ"/>
        </w:rPr>
      </w:pPr>
    </w:p>
    <w:p w14:paraId="73B010D4" w14:textId="77777777" w:rsidR="00A7298C" w:rsidRPr="00EC4F3B" w:rsidRDefault="00A7298C" w:rsidP="00D04CBA">
      <w:pPr>
        <w:rPr>
          <w:lang w:val="cs-CZ"/>
        </w:rPr>
      </w:pPr>
    </w:p>
    <w:p w14:paraId="2B354627" w14:textId="77777777" w:rsidR="007A73D7" w:rsidRPr="00EC4F3B" w:rsidRDefault="007A73D7" w:rsidP="007A73D7">
      <w:pPr>
        <w:rPr>
          <w:lang w:val="cs-CZ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284"/>
        <w:gridCol w:w="6006"/>
        <w:gridCol w:w="4078"/>
        <w:gridCol w:w="3524"/>
      </w:tblGrid>
      <w:tr w:rsidR="007A73D7" w:rsidRPr="00EC4F3B" w14:paraId="7691F50B" w14:textId="77777777" w:rsidTr="002E4CEE"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1D4F" w14:textId="77777777" w:rsidR="007A73D7" w:rsidRPr="00EC4F3B" w:rsidRDefault="007A73D7" w:rsidP="002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E430E" w14:textId="16CFA200" w:rsidR="007A73D7" w:rsidRPr="00EC4F3B" w:rsidRDefault="00F51770" w:rsidP="00F5177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8)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F4461" w14:textId="77777777" w:rsidR="007A73D7" w:rsidRPr="00EC4F3B" w:rsidRDefault="007A73D7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F2457" w14:textId="77777777" w:rsidR="007A73D7" w:rsidRPr="00EC4F3B" w:rsidRDefault="007A73D7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7A73D7" w:rsidRPr="00EC4F3B" w14:paraId="35EB9293" w14:textId="77777777" w:rsidTr="002E4CEE">
        <w:trPr>
          <w:trHeight w:val="11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2A639" w14:textId="77777777" w:rsidR="007A73D7" w:rsidRPr="00EC4F3B" w:rsidRDefault="007A73D7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295FFA" w14:textId="72D2628D" w:rsidR="007B060A" w:rsidRPr="00EC4F3B" w:rsidRDefault="007B060A" w:rsidP="007A73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Audit platných směrnic a dokumentů důležitých pro fungování instituce.</w:t>
            </w:r>
          </w:p>
          <w:p w14:paraId="1EB898EF" w14:textId="063CAA83" w:rsidR="007B060A" w:rsidRPr="00EC4F3B" w:rsidRDefault="007B060A" w:rsidP="007A73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60662228" w14:textId="08CA97D6" w:rsidR="007B060A" w:rsidRPr="00EC4F3B" w:rsidRDefault="007B060A" w:rsidP="007A7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Bude vytvořen seznam výše uvedených dokumentů. Zaměstnanci HR oddělení společně se sekretariátem zjistí také, jestli by nebylo vhodné seznam rozšířit, jestli se k chodu instituce neváží nějaká jiná nařízení, se kterými by se zaměstnanci měli seznámit.</w:t>
            </w:r>
          </w:p>
          <w:p w14:paraId="6F8204F1" w14:textId="77777777" w:rsidR="007A73D7" w:rsidRPr="00EC4F3B" w:rsidRDefault="007A73D7" w:rsidP="007B0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7C2C" w14:textId="21AEC6BF" w:rsidR="007A73D7" w:rsidRPr="00EC4F3B" w:rsidRDefault="00F172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7A73D7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35841141" w14:textId="0C918163" w:rsidR="004A211F" w:rsidRPr="00EC4F3B" w:rsidRDefault="004A211F" w:rsidP="00723EC5">
            <w:pPr>
              <w:spacing w:after="0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4. Profesionální přístup ( +/-)</w:t>
            </w:r>
          </w:p>
          <w:p w14:paraId="2D1F1649" w14:textId="57D3C389" w:rsidR="004A211F" w:rsidRPr="00EC4F3B" w:rsidRDefault="004A211F" w:rsidP="004A211F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5. Smluvní a legislativní povinnosti (+/-)</w:t>
            </w:r>
          </w:p>
          <w:p w14:paraId="42050DEB" w14:textId="1150BB16" w:rsidR="004A211F" w:rsidRPr="00EC4F3B" w:rsidRDefault="004A211F" w:rsidP="004A211F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7. Osvědčené postupy v oblasti výzkumu</w:t>
            </w:r>
            <w:r w:rsidR="004469CF">
              <w:rPr>
                <w:bCs/>
                <w:lang w:val="cs-CZ"/>
              </w:rPr>
              <w:t xml:space="preserve"> </w:t>
            </w:r>
            <w:r w:rsidRPr="00EC4F3B">
              <w:rPr>
                <w:bCs/>
                <w:lang w:val="cs-CZ"/>
              </w:rPr>
              <w:t>(+/-)</w:t>
            </w:r>
          </w:p>
          <w:p w14:paraId="7705F4CA" w14:textId="77777777" w:rsidR="007A73D7" w:rsidRPr="00EC4F3B" w:rsidRDefault="007A73D7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3A8CF0B4" w14:textId="77777777" w:rsidR="007A73D7" w:rsidRPr="00EC4F3B" w:rsidRDefault="007A73D7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0507" w14:textId="1C2EFB68" w:rsidR="007A73D7" w:rsidRPr="00EC4F3B" w:rsidRDefault="00723EC5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77FCBD00" w14:textId="77777777" w:rsidR="007A73D7" w:rsidRPr="00EC4F3B" w:rsidRDefault="007A73D7" w:rsidP="002E4C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3Q/2022</w:t>
            </w:r>
          </w:p>
        </w:tc>
      </w:tr>
      <w:tr w:rsidR="007A73D7" w:rsidRPr="00EC4F3B" w14:paraId="29569A5F" w14:textId="77777777" w:rsidTr="002E4CEE">
        <w:trPr>
          <w:trHeight w:val="9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E8B2" w14:textId="77777777" w:rsidR="007A73D7" w:rsidRPr="00EC4F3B" w:rsidRDefault="007A73D7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5BF97" w14:textId="77777777" w:rsidR="007A73D7" w:rsidRPr="00EC4F3B" w:rsidRDefault="007A73D7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656B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455D1CA3" w14:textId="4165A84B" w:rsidR="00FA11F9" w:rsidRPr="00EC4F3B" w:rsidRDefault="00723EC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Sekretariát</w:t>
            </w:r>
          </w:p>
          <w:p w14:paraId="73F60BE7" w14:textId="2CA9CD49" w:rsidR="00723EC5" w:rsidRPr="00EC4F3B" w:rsidRDefault="00723EC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57462253" w14:textId="77777777" w:rsidR="007A73D7" w:rsidRPr="00EC4F3B" w:rsidRDefault="007A73D7" w:rsidP="0072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49A7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3FECCBB9" w14:textId="11DF77FF" w:rsidR="00FA11F9" w:rsidRPr="00EC4F3B" w:rsidRDefault="00723EC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Seznámení se s danými dokumenty bude stvrzeno podpisem</w:t>
            </w:r>
          </w:p>
          <w:p w14:paraId="44DD5F99" w14:textId="77777777" w:rsidR="007A73D7" w:rsidRPr="00EC4F3B" w:rsidRDefault="007A73D7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7BA94F5D" w14:textId="77777777" w:rsidR="007A73D7" w:rsidRPr="00EC4F3B" w:rsidRDefault="007A73D7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7A6D0474" w14:textId="78C7BD77" w:rsidR="007A73D7" w:rsidRPr="00EC4F3B" w:rsidRDefault="007A73D7" w:rsidP="00A7298C">
      <w:pPr>
        <w:rPr>
          <w:lang w:val="cs-CZ"/>
        </w:rPr>
      </w:pPr>
    </w:p>
    <w:p w14:paraId="21BC7FB5" w14:textId="577C17CC" w:rsidR="00B4656B" w:rsidRPr="00EC4F3B" w:rsidRDefault="00B4656B" w:rsidP="00A7298C">
      <w:pPr>
        <w:rPr>
          <w:lang w:val="cs-CZ"/>
        </w:rPr>
      </w:pPr>
    </w:p>
    <w:p w14:paraId="6E0153B5" w14:textId="09354144" w:rsidR="00B4656B" w:rsidRPr="00EC4F3B" w:rsidRDefault="00B4656B" w:rsidP="00A7298C">
      <w:pPr>
        <w:rPr>
          <w:lang w:val="cs-CZ"/>
        </w:rPr>
      </w:pPr>
    </w:p>
    <w:p w14:paraId="5B1575B7" w14:textId="77777777" w:rsidR="00723EC5" w:rsidRPr="00EC4F3B" w:rsidRDefault="00723EC5" w:rsidP="00A7298C">
      <w:pPr>
        <w:rPr>
          <w:lang w:val="cs-CZ"/>
        </w:rPr>
      </w:pPr>
    </w:p>
    <w:p w14:paraId="4350BD18" w14:textId="77777777" w:rsidR="00D96912" w:rsidRPr="00EC4F3B" w:rsidRDefault="00D96912" w:rsidP="00A7298C">
      <w:pPr>
        <w:rPr>
          <w:lang w:val="cs-CZ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284"/>
        <w:gridCol w:w="6006"/>
        <w:gridCol w:w="4078"/>
        <w:gridCol w:w="3524"/>
      </w:tblGrid>
      <w:tr w:rsidR="00D96912" w:rsidRPr="00EC4F3B" w14:paraId="530E9FBD" w14:textId="77777777" w:rsidTr="002E4CEE"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0B60" w14:textId="77777777" w:rsidR="00D96912" w:rsidRPr="00EC4F3B" w:rsidRDefault="00D96912" w:rsidP="002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82A8E" w14:textId="36869FFC" w:rsidR="00D96912" w:rsidRPr="00EC4F3B" w:rsidRDefault="0097736C" w:rsidP="00A90D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9)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56AC5" w14:textId="77777777" w:rsidR="00D96912" w:rsidRPr="00EC4F3B" w:rsidRDefault="00D96912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DD199" w14:textId="77777777" w:rsidR="00D96912" w:rsidRPr="00EC4F3B" w:rsidRDefault="00D96912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D96912" w:rsidRPr="00EC4F3B" w14:paraId="2E8E13EE" w14:textId="77777777" w:rsidTr="002E4CEE">
        <w:trPr>
          <w:trHeight w:val="11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30899" w14:textId="77777777" w:rsidR="00D96912" w:rsidRPr="00EC4F3B" w:rsidRDefault="00D96912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F7D212" w14:textId="08A67C2C" w:rsidR="00D970A4" w:rsidRPr="00EC4F3B" w:rsidRDefault="00D970A4" w:rsidP="00D970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Audit platných směrnic a dokumentů důležitých pro fungování instituce – překlad.</w:t>
            </w:r>
          </w:p>
          <w:p w14:paraId="34C6354E" w14:textId="77777777" w:rsidR="00D970A4" w:rsidRPr="00EC4F3B" w:rsidRDefault="00D970A4" w:rsidP="00D96912">
            <w:pPr>
              <w:spacing w:after="0" w:line="240" w:lineRule="auto"/>
              <w:jc w:val="both"/>
              <w:rPr>
                <w:b/>
                <w:lang w:val="cs-CZ"/>
              </w:rPr>
            </w:pPr>
          </w:p>
          <w:p w14:paraId="05FC21C0" w14:textId="197EA1B7" w:rsidR="00D970A4" w:rsidRPr="00EC4F3B" w:rsidRDefault="00D970A4" w:rsidP="00D96912">
            <w:pPr>
              <w:spacing w:after="0" w:line="240" w:lineRule="auto"/>
              <w:jc w:val="both"/>
              <w:rPr>
                <w:lang w:val="cs-CZ"/>
              </w:rPr>
            </w:pPr>
            <w:r w:rsidRPr="00EC4F3B">
              <w:rPr>
                <w:lang w:val="cs-CZ"/>
              </w:rPr>
              <w:t>Bude zajištěn překlad dokumentů z akce č. 8 do anglického jazyka.</w:t>
            </w:r>
          </w:p>
          <w:p w14:paraId="1807BCE6" w14:textId="77777777" w:rsidR="00D96912" w:rsidRPr="00EC4F3B" w:rsidRDefault="00D96912" w:rsidP="00D970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A41A" w14:textId="691DB5B5" w:rsidR="00DB436F" w:rsidRPr="00EC4F3B" w:rsidRDefault="00F172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D96912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</w:t>
            </w:r>
          </w:p>
          <w:p w14:paraId="7BE775F9" w14:textId="3E28149D" w:rsidR="00DB436F" w:rsidRPr="00EC4F3B" w:rsidRDefault="00DB436F" w:rsidP="00DB436F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4. Profesionální přístup ( +/-)</w:t>
            </w:r>
          </w:p>
          <w:p w14:paraId="79A5CD76" w14:textId="77777777" w:rsidR="00DB436F" w:rsidRPr="00EC4F3B" w:rsidRDefault="00DB436F" w:rsidP="00DB436F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5. Smluvní a legislativní povinnosti (+/-)</w:t>
            </w:r>
          </w:p>
          <w:p w14:paraId="68C81962" w14:textId="6463E2EF" w:rsidR="00DB436F" w:rsidRPr="00EC4F3B" w:rsidRDefault="00DB436F" w:rsidP="00DB436F">
            <w:pPr>
              <w:spacing w:after="0"/>
              <w:ind w:left="2"/>
              <w:rPr>
                <w:bCs/>
                <w:lang w:val="cs-CZ"/>
              </w:rPr>
            </w:pPr>
            <w:r w:rsidRPr="00EC4F3B">
              <w:rPr>
                <w:bCs/>
                <w:lang w:val="cs-CZ"/>
              </w:rPr>
              <w:t>7. Osvědčené postupy v oblasti výzkumu</w:t>
            </w:r>
            <w:r w:rsidR="00A53182" w:rsidRPr="00EC4F3B">
              <w:rPr>
                <w:bCs/>
                <w:lang w:val="cs-CZ"/>
              </w:rPr>
              <w:t xml:space="preserve"> </w:t>
            </w:r>
            <w:r w:rsidRPr="00EC4F3B">
              <w:rPr>
                <w:bCs/>
                <w:lang w:val="cs-CZ"/>
              </w:rPr>
              <w:t>(+/-)</w:t>
            </w:r>
          </w:p>
          <w:p w14:paraId="64559ECB" w14:textId="77777777" w:rsidR="00D96912" w:rsidRPr="00EC4F3B" w:rsidRDefault="00D96912" w:rsidP="00DB4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AE22" w14:textId="0FAA2F76" w:rsidR="00D96912" w:rsidRPr="00EC4F3B" w:rsidRDefault="00723EC5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455A26C4" w14:textId="77777777" w:rsidR="00D96912" w:rsidRPr="00EC4F3B" w:rsidRDefault="00D96912" w:rsidP="002E4C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3Q/2022</w:t>
            </w:r>
          </w:p>
        </w:tc>
      </w:tr>
      <w:tr w:rsidR="00D96912" w:rsidRPr="00EC4F3B" w14:paraId="318EBF71" w14:textId="77777777" w:rsidTr="002E4CEE">
        <w:trPr>
          <w:trHeight w:val="9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6C6D" w14:textId="77777777" w:rsidR="00D96912" w:rsidRPr="00EC4F3B" w:rsidRDefault="00D96912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F58B4" w14:textId="77777777" w:rsidR="00D96912" w:rsidRPr="00EC4F3B" w:rsidRDefault="00D96912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65F8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3BA2F0C4" w14:textId="5D878E15" w:rsidR="00FA11F9" w:rsidRPr="00EC4F3B" w:rsidRDefault="00723EC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Grantový tým</w:t>
            </w:r>
          </w:p>
          <w:p w14:paraId="7D338218" w14:textId="3F3EA0C3" w:rsidR="004263AB" w:rsidRPr="00EC4F3B" w:rsidRDefault="00723EC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DEF1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5F9D80B1" w14:textId="2808B522" w:rsidR="00FA11F9" w:rsidRPr="00EC4F3B" w:rsidRDefault="00723EC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Všechny důležité dokumenty budou přeloženy do angličtiny a k dispozici v internetovém vyhledavači</w:t>
            </w:r>
          </w:p>
          <w:p w14:paraId="36CB5528" w14:textId="7119AC85" w:rsidR="007D0878" w:rsidRPr="00EC4F3B" w:rsidRDefault="007D0878" w:rsidP="00091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5F43AF45" w14:textId="6C619B26" w:rsidR="00DB436F" w:rsidRPr="00EC4F3B" w:rsidRDefault="00DB436F" w:rsidP="00A7298C">
      <w:pPr>
        <w:rPr>
          <w:lang w:val="cs-CZ"/>
        </w:rPr>
      </w:pPr>
    </w:p>
    <w:p w14:paraId="2AE7BC9C" w14:textId="77777777" w:rsidR="00D96912" w:rsidRPr="00EC4F3B" w:rsidRDefault="00D96912" w:rsidP="00A7298C">
      <w:pPr>
        <w:rPr>
          <w:lang w:val="cs-CZ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284"/>
        <w:gridCol w:w="6006"/>
        <w:gridCol w:w="4200"/>
        <w:gridCol w:w="3402"/>
      </w:tblGrid>
      <w:tr w:rsidR="00A7298C" w:rsidRPr="00EC4F3B" w14:paraId="1C4F69F9" w14:textId="77777777" w:rsidTr="005D6CEB"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72E2" w14:textId="77777777" w:rsidR="00A7298C" w:rsidRPr="00EC4F3B" w:rsidRDefault="00A7298C" w:rsidP="002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30325" w14:textId="65B4530C" w:rsidR="00A7298C" w:rsidRPr="00EC4F3B" w:rsidRDefault="0097736C" w:rsidP="00A90D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10)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C8161" w14:textId="77777777" w:rsidR="00A7298C" w:rsidRPr="00EC4F3B" w:rsidRDefault="00A7298C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C1F08" w14:textId="77777777" w:rsidR="00A7298C" w:rsidRPr="00EC4F3B" w:rsidRDefault="00A7298C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A7298C" w:rsidRPr="00EC4F3B" w14:paraId="6E5E6038" w14:textId="77777777" w:rsidTr="005D6CEB">
        <w:trPr>
          <w:trHeight w:val="11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136DF" w14:textId="77777777" w:rsidR="00A7298C" w:rsidRPr="00EC4F3B" w:rsidRDefault="00A7298C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510496" w14:textId="08EF7C28" w:rsidR="00D970A4" w:rsidRPr="00EC4F3B" w:rsidRDefault="00D970A4" w:rsidP="00D970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Audit platných směrnic a dokumentů důležitých pro fungování instituce – vyhledávač na intranetu instituce.</w:t>
            </w:r>
          </w:p>
          <w:p w14:paraId="667ACCEA" w14:textId="10142AAA" w:rsidR="002F36C9" w:rsidRPr="00EC4F3B" w:rsidRDefault="002F36C9" w:rsidP="00D970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70B586AF" w14:textId="7BEB42B5" w:rsidR="002F36C9" w:rsidRPr="00EC4F3B" w:rsidRDefault="002F36C9" w:rsidP="00D97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Na intranetu instituce bude zajištěn vyhledávač dokumentů z akce č. 8. Dokumenty budou přístupné v českém i anglickém jazyce.</w:t>
            </w:r>
          </w:p>
          <w:p w14:paraId="77401420" w14:textId="77777777" w:rsidR="00D970A4" w:rsidRPr="00EC4F3B" w:rsidRDefault="00D970A4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79101330" w14:textId="0B6B0248" w:rsidR="00A7298C" w:rsidRPr="00EC4F3B" w:rsidRDefault="00A7298C" w:rsidP="00F3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05FB" w14:textId="09816997" w:rsidR="00A7298C" w:rsidRPr="00EC4F3B" w:rsidRDefault="00F172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A7298C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4725F508" w14:textId="77777777" w:rsidR="00DB436F" w:rsidRPr="00EC4F3B" w:rsidRDefault="00DB436F" w:rsidP="00DB436F">
            <w:pPr>
              <w:spacing w:after="0"/>
              <w:ind w:left="2"/>
              <w:rPr>
                <w:bCs/>
                <w:sz w:val="21"/>
                <w:szCs w:val="21"/>
                <w:lang w:val="cs-CZ"/>
              </w:rPr>
            </w:pPr>
            <w:r w:rsidRPr="00EC4F3B">
              <w:rPr>
                <w:bCs/>
                <w:sz w:val="21"/>
                <w:szCs w:val="21"/>
                <w:lang w:val="cs-CZ"/>
              </w:rPr>
              <w:t>4. Profesionální přístup ( +/-)</w:t>
            </w:r>
          </w:p>
          <w:p w14:paraId="16360CA0" w14:textId="77777777" w:rsidR="00DB436F" w:rsidRPr="00EC4F3B" w:rsidRDefault="00DB436F" w:rsidP="00DB436F">
            <w:pPr>
              <w:spacing w:after="0"/>
              <w:ind w:left="2"/>
              <w:rPr>
                <w:bCs/>
                <w:sz w:val="21"/>
                <w:szCs w:val="21"/>
                <w:lang w:val="cs-CZ"/>
              </w:rPr>
            </w:pPr>
            <w:r w:rsidRPr="00EC4F3B">
              <w:rPr>
                <w:bCs/>
                <w:sz w:val="21"/>
                <w:szCs w:val="21"/>
                <w:lang w:val="cs-CZ"/>
              </w:rPr>
              <w:t>5. Smluvní a legislativní povinnosti (+/-)</w:t>
            </w:r>
          </w:p>
          <w:p w14:paraId="328F0C00" w14:textId="22AB9FC8" w:rsidR="00DB436F" w:rsidRPr="00EC4F3B" w:rsidRDefault="00DB436F" w:rsidP="00DB436F">
            <w:pPr>
              <w:spacing w:after="0"/>
              <w:ind w:left="2"/>
              <w:rPr>
                <w:bCs/>
                <w:sz w:val="21"/>
                <w:szCs w:val="21"/>
                <w:lang w:val="cs-CZ"/>
              </w:rPr>
            </w:pPr>
            <w:r w:rsidRPr="00EC4F3B">
              <w:rPr>
                <w:bCs/>
                <w:sz w:val="21"/>
                <w:szCs w:val="21"/>
                <w:lang w:val="cs-CZ"/>
              </w:rPr>
              <w:t>7. Osvědčené postupy v oblasti výzkumu</w:t>
            </w:r>
            <w:r w:rsidR="004469CF">
              <w:rPr>
                <w:bCs/>
                <w:sz w:val="21"/>
                <w:szCs w:val="21"/>
                <w:lang w:val="cs-CZ"/>
              </w:rPr>
              <w:t xml:space="preserve"> </w:t>
            </w:r>
            <w:r w:rsidRPr="00EC4F3B">
              <w:rPr>
                <w:bCs/>
                <w:sz w:val="21"/>
                <w:szCs w:val="21"/>
                <w:lang w:val="cs-CZ"/>
              </w:rPr>
              <w:t>(+/-)</w:t>
            </w:r>
          </w:p>
          <w:p w14:paraId="108CF802" w14:textId="3853073C" w:rsidR="00A7298C" w:rsidRPr="00EC4F3B" w:rsidRDefault="00A7298C" w:rsidP="00DB4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2013" w14:textId="48E06A89" w:rsidR="00A7298C" w:rsidRPr="00EC4F3B" w:rsidRDefault="00A53182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77C226FB" w14:textId="77777777" w:rsidR="00A7298C" w:rsidRPr="00EC4F3B" w:rsidRDefault="00A7298C" w:rsidP="002E4C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3Q/2022</w:t>
            </w:r>
          </w:p>
        </w:tc>
      </w:tr>
      <w:tr w:rsidR="00A7298C" w:rsidRPr="00EC4F3B" w14:paraId="25C2A747" w14:textId="77777777" w:rsidTr="005D6CEB">
        <w:trPr>
          <w:trHeight w:val="9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3A0F" w14:textId="77777777" w:rsidR="00A7298C" w:rsidRPr="00EC4F3B" w:rsidRDefault="00A7298C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12B7" w14:textId="77777777" w:rsidR="00A7298C" w:rsidRPr="00EC4F3B" w:rsidRDefault="00A7298C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088E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185ACBCC" w14:textId="6D0A970A" w:rsidR="00F1720A" w:rsidRPr="00EC4F3B" w:rsidRDefault="00A53182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IT tým</w:t>
            </w:r>
          </w:p>
          <w:p w14:paraId="37C07FD7" w14:textId="4A515810" w:rsidR="00A7298C" w:rsidRPr="00EC4F3B" w:rsidRDefault="00A7298C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2189" w14:textId="167661D8" w:rsidR="00A7298C" w:rsidRPr="00EC4F3B" w:rsidRDefault="00F226FF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4D147B15" w14:textId="208835C0" w:rsidR="00A7298C" w:rsidRPr="00EC4F3B" w:rsidRDefault="00723EC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Existence vyhledavače na intranetu instituce</w:t>
            </w:r>
          </w:p>
        </w:tc>
      </w:tr>
    </w:tbl>
    <w:p w14:paraId="37980FAF" w14:textId="77777777" w:rsidR="00A7298C" w:rsidRPr="00EC4F3B" w:rsidRDefault="00A7298C" w:rsidP="004850C5">
      <w:pPr>
        <w:rPr>
          <w:lang w:val="cs-CZ"/>
        </w:rPr>
      </w:pPr>
    </w:p>
    <w:p w14:paraId="5F9E6B96" w14:textId="272098B7" w:rsidR="00515B04" w:rsidRPr="00EC4F3B" w:rsidRDefault="00515B04" w:rsidP="00515B04">
      <w:pPr>
        <w:rPr>
          <w:lang w:val="cs-CZ"/>
        </w:rPr>
      </w:pPr>
    </w:p>
    <w:p w14:paraId="288F666B" w14:textId="77777777" w:rsidR="00FC10B9" w:rsidRPr="00EC4F3B" w:rsidRDefault="00FC10B9" w:rsidP="00515B04">
      <w:pPr>
        <w:rPr>
          <w:lang w:val="cs-CZ"/>
        </w:rPr>
      </w:pPr>
    </w:p>
    <w:tbl>
      <w:tblPr>
        <w:tblW w:w="13874" w:type="dxa"/>
        <w:tblLook w:val="04A0" w:firstRow="1" w:lastRow="0" w:firstColumn="1" w:lastColumn="0" w:noHBand="0" w:noVBand="1"/>
      </w:tblPr>
      <w:tblGrid>
        <w:gridCol w:w="284"/>
        <w:gridCol w:w="6096"/>
        <w:gridCol w:w="3898"/>
        <w:gridCol w:w="3596"/>
      </w:tblGrid>
      <w:tr w:rsidR="00515B04" w:rsidRPr="00EC4F3B" w14:paraId="54DEACA1" w14:textId="77777777" w:rsidTr="007A73D7"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507A" w14:textId="77777777" w:rsidR="00515B04" w:rsidRPr="00EC4F3B" w:rsidRDefault="00515B04" w:rsidP="0051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6433F" w14:textId="51E2DEA8" w:rsidR="00515B04" w:rsidRPr="00EC4F3B" w:rsidRDefault="0097736C" w:rsidP="0097736C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11)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E8315" w14:textId="77777777" w:rsidR="00515B04" w:rsidRPr="00EC4F3B" w:rsidRDefault="00515B04" w:rsidP="00515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78323" w14:textId="77777777" w:rsidR="00515B04" w:rsidRPr="00EC4F3B" w:rsidRDefault="00515B04" w:rsidP="00515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515B04" w:rsidRPr="00EC4F3B" w14:paraId="70A89930" w14:textId="77777777" w:rsidTr="007A73D7">
        <w:trPr>
          <w:trHeight w:val="11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1914C" w14:textId="77777777" w:rsidR="00515B04" w:rsidRPr="00EC4F3B" w:rsidRDefault="00515B04" w:rsidP="00515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48017A1" w14:textId="2C1E0A11" w:rsidR="007A73D7" w:rsidRPr="00EC4F3B" w:rsidRDefault="00526E59" w:rsidP="007A73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Implementace program</w:t>
            </w:r>
            <w:r w:rsidR="00DF0566"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</w:t>
            </w: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 xml:space="preserve"> “</w:t>
            </w:r>
            <w:r w:rsidR="00515B04"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Welcome Office</w:t>
            </w: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”</w:t>
            </w:r>
            <w:r w:rsidR="007A73D7"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 xml:space="preserve"> </w:t>
            </w:r>
          </w:p>
          <w:p w14:paraId="1774EE64" w14:textId="77777777" w:rsidR="00DF0566" w:rsidRPr="00EC4F3B" w:rsidRDefault="00DF0566" w:rsidP="007A73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7BBEDF69" w14:textId="73685C41" w:rsidR="00DF0566" w:rsidRPr="00EC4F3B" w:rsidRDefault="007A73D7" w:rsidP="007A7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Welcome Office </w:t>
            </w:r>
            <w:r w:rsidR="00DF0566" w:rsidRPr="00EC4F3B">
              <w:rPr>
                <w:rFonts w:ascii="Calibri" w:eastAsia="Times New Roman" w:hAnsi="Calibri" w:cs="Calibri"/>
                <w:color w:val="000000"/>
                <w:lang w:val="cs-CZ"/>
              </w:rPr>
              <w:t>program je plánovaný jako rozšířená verze Adaptačního program</w:t>
            </w:r>
            <w:r w:rsidR="00FB0905" w:rsidRPr="00EC4F3B">
              <w:rPr>
                <w:rFonts w:ascii="Calibri" w:eastAsia="Times New Roman" w:hAnsi="Calibri" w:cs="Calibri"/>
                <w:color w:val="000000"/>
                <w:lang w:val="cs-CZ"/>
              </w:rPr>
              <w:t>u</w:t>
            </w:r>
            <w:r w:rsidR="00DF0566" w:rsidRPr="00EC4F3B">
              <w:rPr>
                <w:rFonts w:ascii="Calibri" w:eastAsia="Times New Roman" w:hAnsi="Calibri" w:cs="Calibri"/>
                <w:color w:val="000000"/>
                <w:lang w:val="cs-CZ"/>
              </w:rPr>
              <w:t>, který je určený pro všechny nově nastupující zaměstnance</w:t>
            </w:r>
            <w:r w:rsidR="00D430F5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a je obvyklý v komerčním sektoru</w:t>
            </w:r>
            <w:r w:rsidR="00FB0905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. Součástí Welcome Office bude i souhrnné uvedení informací (na stránce HRS4R), které by pro zahraniční uchazeče mohly být přínosné (fungování zdravotnictví v ČR, daně apod.) </w:t>
            </w:r>
          </w:p>
          <w:p w14:paraId="2DED65E6" w14:textId="77777777" w:rsidR="004263AB" w:rsidRPr="00EC4F3B" w:rsidRDefault="004263AB" w:rsidP="007A73D7">
            <w:pPr>
              <w:spacing w:after="0" w:line="240" w:lineRule="auto"/>
              <w:rPr>
                <w:lang w:val="cs-CZ"/>
              </w:rPr>
            </w:pPr>
          </w:p>
          <w:p w14:paraId="076AE780" w14:textId="77777777" w:rsidR="00515B04" w:rsidRPr="00EC4F3B" w:rsidRDefault="00515B04" w:rsidP="00426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0834" w14:textId="1D48613A" w:rsidR="004A63D3" w:rsidRPr="00EC4F3B" w:rsidRDefault="00F1720A" w:rsidP="00515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 xml:space="preserve">GAP Principy </w:t>
            </w:r>
            <w:r w:rsidR="00515B04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(+/-) </w:t>
            </w:r>
          </w:p>
          <w:p w14:paraId="33437C7B" w14:textId="2C67C06A" w:rsidR="00DB436F" w:rsidRPr="00EC4F3B" w:rsidRDefault="00DB436F" w:rsidP="00DB436F">
            <w:pPr>
              <w:spacing w:after="0"/>
              <w:ind w:left="2"/>
              <w:rPr>
                <w:bCs/>
                <w:sz w:val="21"/>
                <w:szCs w:val="21"/>
                <w:lang w:val="cs-CZ"/>
              </w:rPr>
            </w:pPr>
            <w:r w:rsidRPr="00EC4F3B">
              <w:rPr>
                <w:bCs/>
                <w:sz w:val="21"/>
                <w:szCs w:val="21"/>
                <w:lang w:val="cs-CZ"/>
              </w:rPr>
              <w:t>2. Etické principy</w:t>
            </w:r>
            <w:r w:rsidR="00A53182" w:rsidRPr="00EC4F3B">
              <w:rPr>
                <w:bCs/>
                <w:sz w:val="21"/>
                <w:szCs w:val="21"/>
                <w:lang w:val="cs-CZ"/>
              </w:rPr>
              <w:t xml:space="preserve"> (</w:t>
            </w:r>
            <w:r w:rsidR="00A53182" w:rsidRPr="00EC4F3B">
              <w:rPr>
                <w:lang w:val="cs-CZ"/>
              </w:rPr>
              <w:t>+/-)</w:t>
            </w:r>
          </w:p>
          <w:p w14:paraId="7CF68667" w14:textId="44BE090D" w:rsidR="00DB436F" w:rsidRPr="00EC4F3B" w:rsidRDefault="00DB436F" w:rsidP="00DB436F">
            <w:pPr>
              <w:spacing w:after="0"/>
              <w:ind w:left="2"/>
              <w:rPr>
                <w:bCs/>
                <w:sz w:val="21"/>
                <w:szCs w:val="21"/>
                <w:lang w:val="cs-CZ"/>
              </w:rPr>
            </w:pPr>
            <w:r w:rsidRPr="00EC4F3B">
              <w:rPr>
                <w:bCs/>
                <w:sz w:val="21"/>
                <w:szCs w:val="21"/>
                <w:lang w:val="cs-CZ"/>
              </w:rPr>
              <w:t>13. Výběr (Kodex)</w:t>
            </w:r>
            <w:r w:rsidR="00A53182" w:rsidRPr="00EC4F3B">
              <w:rPr>
                <w:bCs/>
                <w:sz w:val="21"/>
                <w:szCs w:val="21"/>
                <w:lang w:val="cs-CZ"/>
              </w:rPr>
              <w:t xml:space="preserve"> (</w:t>
            </w:r>
            <w:r w:rsidR="00A53182" w:rsidRPr="00EC4F3B">
              <w:rPr>
                <w:rFonts w:cstheme="minorHAnsi"/>
                <w:sz w:val="21"/>
                <w:szCs w:val="21"/>
                <w:lang w:val="cs-CZ"/>
              </w:rPr>
              <w:t>+/-)</w:t>
            </w:r>
          </w:p>
          <w:p w14:paraId="10087C3A" w14:textId="7F963D9A" w:rsidR="00DB436F" w:rsidRPr="00EC4F3B" w:rsidRDefault="00DB436F" w:rsidP="00DB436F">
            <w:pPr>
              <w:spacing w:after="0"/>
              <w:ind w:left="2"/>
              <w:rPr>
                <w:bCs/>
                <w:sz w:val="21"/>
                <w:szCs w:val="21"/>
                <w:lang w:val="cs-CZ"/>
              </w:rPr>
            </w:pPr>
            <w:r w:rsidRPr="00EC4F3B">
              <w:rPr>
                <w:bCs/>
                <w:sz w:val="21"/>
                <w:szCs w:val="21"/>
                <w:lang w:val="cs-CZ"/>
              </w:rPr>
              <w:t>30. Přístup ke kariérnímu poradenství</w:t>
            </w:r>
            <w:r w:rsidR="00A53182" w:rsidRPr="00EC4F3B">
              <w:rPr>
                <w:bCs/>
                <w:sz w:val="21"/>
                <w:szCs w:val="21"/>
                <w:lang w:val="cs-CZ"/>
              </w:rPr>
              <w:t xml:space="preserve"> (</w:t>
            </w:r>
            <w:r w:rsidR="00A53182" w:rsidRPr="00EC4F3B">
              <w:rPr>
                <w:rFonts w:cstheme="minorHAnsi"/>
                <w:sz w:val="21"/>
                <w:szCs w:val="21"/>
                <w:lang w:val="cs-CZ"/>
              </w:rPr>
              <w:t>+/-)</w:t>
            </w:r>
          </w:p>
          <w:p w14:paraId="4CC7AD51" w14:textId="1F5D87DE" w:rsidR="004A63D3" w:rsidRPr="00EC4F3B" w:rsidRDefault="004A63D3" w:rsidP="00515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7797DCA8" w14:textId="7D0BD139" w:rsidR="00515B04" w:rsidRPr="00EC4F3B" w:rsidRDefault="00515B04" w:rsidP="00F3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0B4D" w14:textId="08CE3E05" w:rsidR="00515B04" w:rsidRPr="00EC4F3B" w:rsidRDefault="001756D5" w:rsidP="00515B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48333C99" w14:textId="77777777" w:rsidR="00515B04" w:rsidRPr="00EC4F3B" w:rsidRDefault="004263AB" w:rsidP="00515B0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3</w:t>
            </w:r>
            <w:r w:rsidR="00515B04"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Q/2021</w:t>
            </w:r>
          </w:p>
        </w:tc>
      </w:tr>
      <w:tr w:rsidR="00515B04" w:rsidRPr="00EC4F3B" w14:paraId="280479EF" w14:textId="77777777" w:rsidTr="007A73D7">
        <w:trPr>
          <w:trHeight w:val="9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BDF4" w14:textId="77777777" w:rsidR="00515B04" w:rsidRPr="00EC4F3B" w:rsidRDefault="00515B04" w:rsidP="00515B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8E255" w14:textId="77777777" w:rsidR="00515B04" w:rsidRPr="00EC4F3B" w:rsidRDefault="00515B04" w:rsidP="00515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FD27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0409D0EE" w14:textId="01ADCE58" w:rsidR="00F1720A" w:rsidRPr="00EC4F3B" w:rsidRDefault="00A53182" w:rsidP="00515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03D1BFBE" w14:textId="1E9EBBB0" w:rsidR="00A53182" w:rsidRPr="00EC4F3B" w:rsidRDefault="00A53182" w:rsidP="00515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IT tým</w:t>
            </w:r>
          </w:p>
          <w:p w14:paraId="5F262FFC" w14:textId="4A93063C" w:rsidR="00515B04" w:rsidRPr="00EC4F3B" w:rsidRDefault="00515B04" w:rsidP="00515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B7D5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2E427EE4" w14:textId="150DE245" w:rsidR="00FA11F9" w:rsidRPr="00EC4F3B" w:rsidRDefault="00A53182" w:rsidP="00515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Uvedení Welcome Office programu na HRS4R webové stránce</w:t>
            </w:r>
          </w:p>
          <w:p w14:paraId="7B5FDF3F" w14:textId="50AE2AB0" w:rsidR="00515B04" w:rsidRPr="00EC4F3B" w:rsidRDefault="00515B04" w:rsidP="00515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1F40DD73" w14:textId="77777777" w:rsidR="00993268" w:rsidRPr="00EC4F3B" w:rsidRDefault="00993268" w:rsidP="00993268">
      <w:pPr>
        <w:rPr>
          <w:lang w:val="cs-CZ"/>
        </w:rPr>
      </w:pPr>
    </w:p>
    <w:tbl>
      <w:tblPr>
        <w:tblW w:w="13895" w:type="dxa"/>
        <w:tblLook w:val="04A0" w:firstRow="1" w:lastRow="0" w:firstColumn="1" w:lastColumn="0" w:noHBand="0" w:noVBand="1"/>
      </w:tblPr>
      <w:tblGrid>
        <w:gridCol w:w="284"/>
        <w:gridCol w:w="6117"/>
        <w:gridCol w:w="4078"/>
        <w:gridCol w:w="3416"/>
      </w:tblGrid>
      <w:tr w:rsidR="00993268" w:rsidRPr="00EC4F3B" w14:paraId="1EB3ADAE" w14:textId="77777777" w:rsidTr="002E4CEE"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3C74" w14:textId="77777777" w:rsidR="00993268" w:rsidRPr="00EC4F3B" w:rsidRDefault="00993268" w:rsidP="002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7F70C" w14:textId="0784B112" w:rsidR="00993268" w:rsidRPr="00EC4F3B" w:rsidRDefault="0097736C" w:rsidP="0097736C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12)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D5716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2A4A9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993268" w:rsidRPr="00EC4F3B" w14:paraId="7879DB51" w14:textId="77777777" w:rsidTr="002E4CEE">
        <w:trPr>
          <w:trHeight w:val="11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AAE38" w14:textId="77777777" w:rsidR="00993268" w:rsidRPr="00EC4F3B" w:rsidRDefault="00993268" w:rsidP="002E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A1A9C1" w14:textId="23230C3B" w:rsidR="00DB7374" w:rsidRPr="00EC4F3B" w:rsidRDefault="00DB7374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2894A053" w14:textId="5255544B" w:rsidR="00DB7374" w:rsidRPr="00EC4F3B" w:rsidRDefault="00DB7374" w:rsidP="00DB7374">
            <w:pPr>
              <w:pStyle w:val="TableParagraph"/>
              <w:spacing w:line="265" w:lineRule="exact"/>
              <w:rPr>
                <w:b/>
                <w:lang w:val="cs-CZ"/>
              </w:rPr>
            </w:pPr>
            <w:r w:rsidRPr="00EC4F3B">
              <w:rPr>
                <w:b/>
                <w:lang w:val="cs-CZ"/>
              </w:rPr>
              <w:t>Etický kodex + Etická komise</w:t>
            </w:r>
          </w:p>
          <w:p w14:paraId="232BEBE6" w14:textId="0552B169" w:rsidR="00DB7374" w:rsidRPr="00EC4F3B" w:rsidRDefault="00AD1F3F" w:rsidP="00DB7374">
            <w:pPr>
              <w:pStyle w:val="TableParagraph"/>
              <w:spacing w:line="265" w:lineRule="exact"/>
              <w:rPr>
                <w:lang w:val="cs-CZ"/>
              </w:rPr>
            </w:pPr>
            <w:r w:rsidRPr="00EC4F3B">
              <w:rPr>
                <w:lang w:val="cs-CZ"/>
              </w:rPr>
              <w:t>Rada Instituce přijala Etický kodex ÚŽFG, který navazuje na Etický kodex AV ČR a rozšiřuje jej.</w:t>
            </w:r>
          </w:p>
          <w:p w14:paraId="61541F9C" w14:textId="2B044BB4" w:rsidR="00A614E5" w:rsidRPr="00EC4F3B" w:rsidRDefault="000B0617" w:rsidP="00A614E5">
            <w:pPr>
              <w:pStyle w:val="TableParagraph"/>
              <w:spacing w:line="265" w:lineRule="exact"/>
              <w:rPr>
                <w:lang w:val="cs-CZ"/>
              </w:rPr>
            </w:pPr>
            <w:r w:rsidRPr="00EC4F3B">
              <w:rPr>
                <w:lang w:val="cs-CZ"/>
              </w:rPr>
              <w:t>Pevnou souč</w:t>
            </w:r>
            <w:r w:rsidR="00A614E5" w:rsidRPr="00EC4F3B">
              <w:rPr>
                <w:lang w:val="cs-CZ"/>
              </w:rPr>
              <w:t>ástí nového kodexu je ustavení</w:t>
            </w:r>
            <w:r w:rsidRPr="00EC4F3B">
              <w:rPr>
                <w:lang w:val="cs-CZ"/>
              </w:rPr>
              <w:t xml:space="preserve"> Etické komise, kam se může na základě popsaného procesu každý zaměstnanec obrátit ve věci podezření z plagiátorství </w:t>
            </w:r>
            <w:r w:rsidR="00A614E5" w:rsidRPr="00EC4F3B">
              <w:rPr>
                <w:lang w:val="cs-CZ"/>
              </w:rPr>
              <w:t>nebo podvodu ve vědě.</w:t>
            </w:r>
          </w:p>
          <w:p w14:paraId="0E33B2F9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7065BECA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B3FA" w14:textId="44A86F90" w:rsidR="00AD1F3F" w:rsidRPr="00EC4F3B" w:rsidRDefault="00F172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993268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62793387" w14:textId="5EC7B9D0" w:rsidR="00A53182" w:rsidRPr="00EC4F3B" w:rsidRDefault="00A53182" w:rsidP="00A53182">
            <w:pPr>
              <w:spacing w:after="0"/>
              <w:ind w:left="2"/>
              <w:rPr>
                <w:bCs/>
                <w:sz w:val="21"/>
                <w:szCs w:val="21"/>
                <w:lang w:val="cs-CZ"/>
              </w:rPr>
            </w:pPr>
            <w:r w:rsidRPr="00EC4F3B">
              <w:rPr>
                <w:bCs/>
                <w:sz w:val="21"/>
                <w:szCs w:val="21"/>
                <w:lang w:val="cs-CZ"/>
              </w:rPr>
              <w:t>2. Etické principy (</w:t>
            </w:r>
            <w:r w:rsidRPr="00EC4F3B">
              <w:rPr>
                <w:lang w:val="cs-CZ"/>
              </w:rPr>
              <w:t>+/-)</w:t>
            </w:r>
          </w:p>
          <w:p w14:paraId="2D2FD095" w14:textId="041E09D1" w:rsidR="00A53182" w:rsidRPr="00EC4F3B" w:rsidRDefault="00A53182" w:rsidP="00A53182">
            <w:pPr>
              <w:spacing w:after="0"/>
              <w:ind w:left="2"/>
              <w:rPr>
                <w:bCs/>
                <w:sz w:val="21"/>
                <w:szCs w:val="21"/>
                <w:lang w:val="cs-CZ"/>
              </w:rPr>
            </w:pPr>
            <w:r w:rsidRPr="00EC4F3B">
              <w:rPr>
                <w:bCs/>
                <w:sz w:val="21"/>
                <w:szCs w:val="21"/>
                <w:lang w:val="cs-CZ"/>
              </w:rPr>
              <w:t>3. Profesionální odpovědnost</w:t>
            </w:r>
            <w:r w:rsidR="001756D5" w:rsidRPr="00EC4F3B">
              <w:rPr>
                <w:bCs/>
                <w:sz w:val="21"/>
                <w:szCs w:val="21"/>
                <w:lang w:val="cs-CZ"/>
              </w:rPr>
              <w:t xml:space="preserve"> (</w:t>
            </w:r>
            <w:r w:rsidR="001756D5" w:rsidRPr="00EC4F3B">
              <w:rPr>
                <w:lang w:val="cs-CZ"/>
              </w:rPr>
              <w:t>+/-)</w:t>
            </w:r>
          </w:p>
          <w:p w14:paraId="3E766579" w14:textId="2B621BFE" w:rsidR="00A53182" w:rsidRPr="00EC4F3B" w:rsidRDefault="00A53182" w:rsidP="00A53182">
            <w:pPr>
              <w:spacing w:after="0"/>
              <w:ind w:left="2"/>
              <w:rPr>
                <w:bCs/>
                <w:sz w:val="21"/>
                <w:szCs w:val="21"/>
                <w:lang w:val="cs-CZ"/>
              </w:rPr>
            </w:pPr>
            <w:r w:rsidRPr="00EC4F3B">
              <w:rPr>
                <w:bCs/>
                <w:sz w:val="21"/>
                <w:szCs w:val="21"/>
                <w:lang w:val="cs-CZ"/>
              </w:rPr>
              <w:t xml:space="preserve">34. Stížnosti a odvolání </w:t>
            </w:r>
            <w:r w:rsidR="001756D5" w:rsidRPr="00EC4F3B">
              <w:rPr>
                <w:bCs/>
                <w:sz w:val="21"/>
                <w:szCs w:val="21"/>
                <w:lang w:val="cs-CZ"/>
              </w:rPr>
              <w:t>(</w:t>
            </w:r>
            <w:r w:rsidRPr="00EC4F3B">
              <w:rPr>
                <w:lang w:val="cs-CZ"/>
              </w:rPr>
              <w:t>+/-</w:t>
            </w:r>
            <w:r w:rsidR="001756D5" w:rsidRPr="00EC4F3B">
              <w:rPr>
                <w:lang w:val="cs-CZ"/>
              </w:rPr>
              <w:t>)</w:t>
            </w:r>
          </w:p>
          <w:p w14:paraId="4B8E6701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31126E0D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B6A6" w14:textId="6A85353F" w:rsidR="00993268" w:rsidRPr="00EC4F3B" w:rsidRDefault="001756D5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54AFD48C" w14:textId="77777777" w:rsidR="00993268" w:rsidRPr="00EC4F3B" w:rsidRDefault="00DD4F2B" w:rsidP="002E4CEE">
            <w:pPr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2</w:t>
            </w:r>
            <w:r w:rsidR="00993268"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Q/2021</w:t>
            </w:r>
          </w:p>
        </w:tc>
      </w:tr>
      <w:tr w:rsidR="00993268" w:rsidRPr="00EC4F3B" w14:paraId="14F6A1BB" w14:textId="77777777" w:rsidTr="002E4CEE">
        <w:trPr>
          <w:trHeight w:val="9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B82B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952AB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129A7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4E31A26E" w14:textId="62B85024" w:rsidR="00F1720A" w:rsidRPr="00EC4F3B" w:rsidRDefault="001756D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Garant projektu</w:t>
            </w:r>
          </w:p>
          <w:p w14:paraId="53E75B94" w14:textId="56D24C9A" w:rsidR="001756D5" w:rsidRPr="00EC4F3B" w:rsidRDefault="001756D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Vedoucí laboratoří</w:t>
            </w:r>
          </w:p>
          <w:p w14:paraId="7584E689" w14:textId="5CD18FB4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BE4D" w14:textId="6E82CB79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1CF242BA" w14:textId="18348FB8" w:rsidR="00993268" w:rsidRPr="00EC4F3B" w:rsidRDefault="001756D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Směrnice ředitele v platnosti. Seznámení se s dokumentem stvrzeno podpisem či e-mailem.</w:t>
            </w:r>
          </w:p>
        </w:tc>
      </w:tr>
    </w:tbl>
    <w:p w14:paraId="2AD59232" w14:textId="3CDD2EE4" w:rsidR="00B4656B" w:rsidRPr="00EC4F3B" w:rsidRDefault="00B4656B" w:rsidP="00993268">
      <w:pPr>
        <w:rPr>
          <w:lang w:val="cs-CZ"/>
        </w:rPr>
      </w:pPr>
    </w:p>
    <w:p w14:paraId="63FD05B9" w14:textId="77777777" w:rsidR="004263AB" w:rsidRPr="00EC4F3B" w:rsidRDefault="004263AB" w:rsidP="00993268">
      <w:pPr>
        <w:rPr>
          <w:lang w:val="cs-CZ"/>
        </w:rPr>
      </w:pPr>
    </w:p>
    <w:tbl>
      <w:tblPr>
        <w:tblW w:w="13784" w:type="dxa"/>
        <w:tblLook w:val="04A0" w:firstRow="1" w:lastRow="0" w:firstColumn="1" w:lastColumn="0" w:noHBand="0" w:noVBand="1"/>
      </w:tblPr>
      <w:tblGrid>
        <w:gridCol w:w="284"/>
        <w:gridCol w:w="6006"/>
        <w:gridCol w:w="4078"/>
        <w:gridCol w:w="3416"/>
      </w:tblGrid>
      <w:tr w:rsidR="00993268" w:rsidRPr="00EC4F3B" w14:paraId="61E499BD" w14:textId="77777777" w:rsidTr="002E4CEE"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8563" w14:textId="77777777" w:rsidR="00993268" w:rsidRPr="00EC4F3B" w:rsidRDefault="00993268" w:rsidP="002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7187C" w14:textId="0889B172" w:rsidR="00993268" w:rsidRPr="00EC4F3B" w:rsidRDefault="0097736C" w:rsidP="0097736C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13)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307B6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BD9F0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993268" w:rsidRPr="00EC4F3B" w14:paraId="22A0FBE1" w14:textId="77777777" w:rsidTr="002E4CEE">
        <w:trPr>
          <w:trHeight w:val="11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AC16D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A0557D" w14:textId="576ED372" w:rsidR="00A614E5" w:rsidRPr="00EC4F3B" w:rsidRDefault="00A614E5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Setkání Grantové skupiny, Fundraisera a vědecké komunity ÚŽFG.</w:t>
            </w:r>
          </w:p>
          <w:p w14:paraId="693FE59F" w14:textId="56945D54" w:rsidR="00A81BDA" w:rsidRPr="00EC4F3B" w:rsidRDefault="00FB2E69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Konzultační skupina nejprve identifikovala jako slabý bod naší kandidatury pro HR AWARD nedostatečnou administrativní podporu vědců při podá</w:t>
            </w:r>
            <w:r w:rsidR="00A81BDA" w:rsidRPr="00EC4F3B">
              <w:rPr>
                <w:rFonts w:ascii="Calibri" w:eastAsia="Times New Roman" w:hAnsi="Calibri" w:cs="Calibri"/>
                <w:color w:val="000000"/>
                <w:lang w:val="cs-CZ"/>
              </w:rPr>
              <w:t>vání grantů. Při hlubší analýze problematiky, kterou provedli členové řídícího výboru</w:t>
            </w:r>
            <w:r w:rsidR="00F226FF">
              <w:rPr>
                <w:rFonts w:ascii="Calibri" w:eastAsia="Times New Roman" w:hAnsi="Calibri" w:cs="Calibri"/>
                <w:color w:val="000000"/>
                <w:lang w:val="cs-CZ"/>
              </w:rPr>
              <w:t>,</w:t>
            </w:r>
            <w:r w:rsidR="00A81BDA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vyšlo najevo, že vědečtí pracovníci spíše jen neznají možnosti stávajícího systému. </w:t>
            </w:r>
          </w:p>
          <w:p w14:paraId="2635F0E8" w14:textId="528E5E55" w:rsidR="00993268" w:rsidRPr="00EC4F3B" w:rsidRDefault="00A81BDA" w:rsidP="00A8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Na základě tohoto zjištění bude tedy zorganizováno společné setkání grantové skupiny, Fundraisera a vědeckých pracovníků.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B577" w14:textId="337A3846" w:rsidR="00993268" w:rsidRPr="00EC4F3B" w:rsidRDefault="00F172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993268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72CD9245" w14:textId="343EAB84" w:rsidR="001756D5" w:rsidRPr="00EC4F3B" w:rsidRDefault="001756D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cstheme="minorHAnsi"/>
                <w:sz w:val="21"/>
                <w:szCs w:val="21"/>
                <w:lang w:val="cs-CZ"/>
              </w:rPr>
              <w:t xml:space="preserve">1. Svoboda vědeckého bádání </w:t>
            </w:r>
            <w:r w:rsidRPr="00EC4F3B">
              <w:rPr>
                <w:lang w:val="cs-CZ"/>
              </w:rPr>
              <w:t>(+/-)</w:t>
            </w:r>
          </w:p>
          <w:p w14:paraId="01CCA509" w14:textId="4AFE0281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22E3FDE6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1F9019CE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B59F" w14:textId="6F89A655" w:rsidR="00993268" w:rsidRPr="00EC4F3B" w:rsidRDefault="001756D5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45568108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2Q/2021</w:t>
            </w:r>
          </w:p>
        </w:tc>
      </w:tr>
      <w:tr w:rsidR="00993268" w:rsidRPr="00EC4F3B" w14:paraId="77DBDD91" w14:textId="77777777" w:rsidTr="00A81BDA">
        <w:trPr>
          <w:trHeight w:val="12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B6C4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F3061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A1FB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4E2282CC" w14:textId="774A43CF" w:rsidR="00F1720A" w:rsidRPr="00EC4F3B" w:rsidRDefault="001756D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Grantový tým</w:t>
            </w:r>
          </w:p>
          <w:p w14:paraId="7718635E" w14:textId="58CF6ABD" w:rsidR="001756D5" w:rsidRPr="00EC4F3B" w:rsidRDefault="001756D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Garant projektu</w:t>
            </w:r>
          </w:p>
          <w:p w14:paraId="6779DE43" w14:textId="283EB99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8F7B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6879D580" w14:textId="4265F2C5" w:rsidR="00FA11F9" w:rsidRPr="00EC4F3B" w:rsidRDefault="001756D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Prezenční listiny</w:t>
            </w:r>
          </w:p>
          <w:p w14:paraId="5C1F52FF" w14:textId="5E99FF66" w:rsidR="001756D5" w:rsidRPr="00EC4F3B" w:rsidRDefault="001756D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Záznam očekávání vědeckých pracovníků od grantového týmu.</w:t>
            </w:r>
          </w:p>
          <w:p w14:paraId="6F57015A" w14:textId="77777777" w:rsidR="00993268" w:rsidRPr="00EC4F3B" w:rsidRDefault="00993268" w:rsidP="0017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48CFF7E4" w14:textId="77777777" w:rsidR="00993268" w:rsidRPr="00EC4F3B" w:rsidRDefault="00993268" w:rsidP="00993268">
      <w:pPr>
        <w:rPr>
          <w:lang w:val="cs-CZ"/>
        </w:rPr>
      </w:pPr>
    </w:p>
    <w:p w14:paraId="6D65B52D" w14:textId="36C7ECBA" w:rsidR="00993268" w:rsidRPr="00EC4F3B" w:rsidRDefault="00993268" w:rsidP="00993268">
      <w:pPr>
        <w:rPr>
          <w:lang w:val="cs-CZ"/>
        </w:rPr>
      </w:pPr>
    </w:p>
    <w:p w14:paraId="2ED178EF" w14:textId="54E7D5B4" w:rsidR="00F32959" w:rsidRPr="00EC4F3B" w:rsidRDefault="00F32959" w:rsidP="00993268">
      <w:pPr>
        <w:rPr>
          <w:lang w:val="cs-CZ"/>
        </w:rPr>
      </w:pPr>
    </w:p>
    <w:p w14:paraId="5CFE3893" w14:textId="1FCD459B" w:rsidR="001756D5" w:rsidRPr="00EC4F3B" w:rsidRDefault="001756D5" w:rsidP="00993268">
      <w:pPr>
        <w:rPr>
          <w:lang w:val="cs-CZ"/>
        </w:rPr>
      </w:pPr>
    </w:p>
    <w:p w14:paraId="20F41BDC" w14:textId="4FDD8483" w:rsidR="001756D5" w:rsidRPr="00EC4F3B" w:rsidRDefault="001756D5" w:rsidP="00993268">
      <w:pPr>
        <w:rPr>
          <w:lang w:val="cs-CZ"/>
        </w:rPr>
      </w:pPr>
    </w:p>
    <w:p w14:paraId="00317B46" w14:textId="77777777" w:rsidR="001756D5" w:rsidRPr="00EC4F3B" w:rsidRDefault="001756D5" w:rsidP="00993268">
      <w:pPr>
        <w:rPr>
          <w:lang w:val="cs-CZ"/>
        </w:rPr>
      </w:pPr>
    </w:p>
    <w:p w14:paraId="213CB22E" w14:textId="5E566214" w:rsidR="00F32959" w:rsidRPr="00EC4F3B" w:rsidRDefault="00F32959" w:rsidP="00993268">
      <w:pPr>
        <w:rPr>
          <w:lang w:val="cs-CZ"/>
        </w:rPr>
      </w:pPr>
    </w:p>
    <w:p w14:paraId="32FD71E8" w14:textId="4007A68D" w:rsidR="00B4656B" w:rsidRPr="00EC4F3B" w:rsidRDefault="00B4656B" w:rsidP="00993268">
      <w:pPr>
        <w:rPr>
          <w:lang w:val="cs-CZ"/>
        </w:rPr>
      </w:pPr>
    </w:p>
    <w:p w14:paraId="008D3DD4" w14:textId="77777777" w:rsidR="00B4656B" w:rsidRPr="00EC4F3B" w:rsidRDefault="00B4656B" w:rsidP="00993268">
      <w:pPr>
        <w:rPr>
          <w:lang w:val="cs-CZ"/>
        </w:rPr>
      </w:pPr>
    </w:p>
    <w:tbl>
      <w:tblPr>
        <w:tblW w:w="13884" w:type="dxa"/>
        <w:tblInd w:w="-10" w:type="dxa"/>
        <w:tblLook w:val="04A0" w:firstRow="1" w:lastRow="0" w:firstColumn="1" w:lastColumn="0" w:noHBand="0" w:noVBand="1"/>
      </w:tblPr>
      <w:tblGrid>
        <w:gridCol w:w="6106"/>
        <w:gridCol w:w="4046"/>
        <w:gridCol w:w="3732"/>
      </w:tblGrid>
      <w:tr w:rsidR="00993268" w:rsidRPr="00EC4F3B" w14:paraId="6FFD824B" w14:textId="77777777" w:rsidTr="00B61C2D">
        <w:trPr>
          <w:trHeight w:val="280"/>
        </w:trPr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466E5" w14:textId="256914D8" w:rsidR="00993268" w:rsidRPr="00EC4F3B" w:rsidRDefault="0097736C" w:rsidP="0097736C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14)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40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C6097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2755F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993268" w:rsidRPr="00EC4F3B" w14:paraId="06AFB70C" w14:textId="77777777" w:rsidTr="00B61C2D">
        <w:trPr>
          <w:trHeight w:val="1121"/>
        </w:trPr>
        <w:tc>
          <w:tcPr>
            <w:tcW w:w="6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D0348F0" w14:textId="16844A85" w:rsidR="001E6739" w:rsidRPr="00EC4F3B" w:rsidRDefault="001E6739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Interní grantová soutěž</w:t>
            </w:r>
          </w:p>
          <w:p w14:paraId="48010267" w14:textId="6C2B9540" w:rsidR="001E6739" w:rsidRPr="00EC4F3B" w:rsidRDefault="001E6739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5F099649" w14:textId="7578049A" w:rsidR="001E6739" w:rsidRPr="00EC4F3B" w:rsidRDefault="001E6739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V rámci projektu HR AWARD bude institucí organizována cvičná Interní grantová soutěž. Cílem je naučit juniorní výzkumníky pracovat s administrativou nutnou pro přípravu žádostí o granty.</w:t>
            </w:r>
          </w:p>
          <w:p w14:paraId="7CCC5753" w14:textId="2260C20E" w:rsidR="00993268" w:rsidRPr="00EC4F3B" w:rsidRDefault="00993268" w:rsidP="00DD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F83F" w14:textId="5ECFF84A" w:rsidR="00993268" w:rsidRPr="00EC4F3B" w:rsidRDefault="00F172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993268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0E5BDAF3" w14:textId="5C9192FF" w:rsidR="0007218C" w:rsidRPr="00EC4F3B" w:rsidRDefault="0007218C" w:rsidP="0007218C">
            <w:pPr>
              <w:pStyle w:val="TableParagraph"/>
              <w:ind w:left="0"/>
              <w:rPr>
                <w:rFonts w:asciiTheme="minorHAnsi" w:hAnsiTheme="minorHAnsi" w:cstheme="minorHAnsi"/>
                <w:sz w:val="21"/>
                <w:szCs w:val="21"/>
                <w:lang w:val="cs-CZ"/>
              </w:rPr>
            </w:pPr>
            <w:r w:rsidRPr="00EC4F3B">
              <w:rPr>
                <w:rFonts w:asciiTheme="minorHAnsi" w:hAnsiTheme="minorHAnsi" w:cstheme="minorHAnsi"/>
                <w:sz w:val="21"/>
                <w:szCs w:val="21"/>
                <w:lang w:val="cs-CZ"/>
              </w:rPr>
              <w:t xml:space="preserve">1. Svoboda vědeckého bádání </w:t>
            </w:r>
            <w:r w:rsidRPr="00EC4F3B">
              <w:rPr>
                <w:rFonts w:eastAsia="Times New Roman"/>
                <w:color w:val="000000"/>
                <w:lang w:val="cs-CZ"/>
              </w:rPr>
              <w:t>(+/-)</w:t>
            </w:r>
          </w:p>
          <w:p w14:paraId="3B28EBB4" w14:textId="77777777" w:rsidR="0007218C" w:rsidRPr="00EC4F3B" w:rsidRDefault="0007218C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78C674B5" w14:textId="3BE27F47" w:rsidR="00DD4F2B" w:rsidRPr="00EC4F3B" w:rsidRDefault="00DD4F2B" w:rsidP="00DD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</w:t>
            </w:r>
          </w:p>
          <w:p w14:paraId="70782C34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A8D2" w14:textId="4714950E" w:rsidR="00993268" w:rsidRPr="00EC4F3B" w:rsidRDefault="00F226FF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6AB5FB1F" w14:textId="5E9BD553" w:rsidR="002045F8" w:rsidRPr="00EC4F3B" w:rsidRDefault="00DD4F2B" w:rsidP="002E4C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2Q/2021</w:t>
            </w:r>
            <w:r w:rsidR="00326F50"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, </w:t>
            </w:r>
            <w:r w:rsidR="002045F8" w:rsidRPr="00EC4F3B">
              <w:rPr>
                <w:rFonts w:ascii="Calibri" w:eastAsia="Times New Roman" w:hAnsi="Calibri" w:cs="Calibri"/>
                <w:lang w:val="cs-CZ"/>
              </w:rPr>
              <w:t>začátek, časově neohraničeno</w:t>
            </w:r>
          </w:p>
          <w:p w14:paraId="731A9A3C" w14:textId="77777777" w:rsidR="002045F8" w:rsidRPr="00EC4F3B" w:rsidRDefault="002045F8" w:rsidP="002E4C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</w:p>
          <w:p w14:paraId="439D5AC3" w14:textId="77777777" w:rsidR="00993268" w:rsidRPr="00EC4F3B" w:rsidRDefault="00993268" w:rsidP="00F226FF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</w:p>
        </w:tc>
      </w:tr>
      <w:tr w:rsidR="00993268" w:rsidRPr="00EC4F3B" w14:paraId="7BE811AC" w14:textId="77777777" w:rsidTr="00B61C2D">
        <w:trPr>
          <w:trHeight w:val="919"/>
        </w:trPr>
        <w:tc>
          <w:tcPr>
            <w:tcW w:w="6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DF06C" w14:textId="77777777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B699" w14:textId="0552CC34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54709AF7" w14:textId="1CF41B75" w:rsidR="001756D5" w:rsidRPr="00EC4F3B" w:rsidRDefault="001756D5" w:rsidP="00F1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Grantový tým</w:t>
            </w:r>
          </w:p>
          <w:p w14:paraId="346CFE19" w14:textId="0BC72281" w:rsidR="00993268" w:rsidRPr="00EC4F3B" w:rsidRDefault="00993268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B982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3DD60788" w14:textId="640F5B29" w:rsidR="00FA11F9" w:rsidRPr="00EC4F3B" w:rsidRDefault="001756D5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Existence interní grantové soutěže prokázaná příslušnou dokumentací.</w:t>
            </w:r>
          </w:p>
          <w:p w14:paraId="78700120" w14:textId="77777777" w:rsidR="00993268" w:rsidRPr="00EC4F3B" w:rsidRDefault="00993268" w:rsidP="0017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4D1A2CC5" w14:textId="5F1D3577" w:rsidR="00F226FF" w:rsidRPr="00EC4F3B" w:rsidRDefault="00F226FF" w:rsidP="001355AC">
      <w:pPr>
        <w:rPr>
          <w:lang w:val="cs-CZ"/>
        </w:rPr>
      </w:pPr>
    </w:p>
    <w:p w14:paraId="14077DBF" w14:textId="77777777" w:rsidR="001756D5" w:rsidRPr="00EC4F3B" w:rsidRDefault="001756D5" w:rsidP="001355AC">
      <w:pPr>
        <w:rPr>
          <w:lang w:val="cs-CZ"/>
        </w:rPr>
      </w:pPr>
    </w:p>
    <w:tbl>
      <w:tblPr>
        <w:tblW w:w="13874" w:type="dxa"/>
        <w:tblLook w:val="04A0" w:firstRow="1" w:lastRow="0" w:firstColumn="1" w:lastColumn="0" w:noHBand="0" w:noVBand="1"/>
      </w:tblPr>
      <w:tblGrid>
        <w:gridCol w:w="6096"/>
        <w:gridCol w:w="4046"/>
        <w:gridCol w:w="3732"/>
      </w:tblGrid>
      <w:tr w:rsidR="001355AC" w:rsidRPr="00EC4F3B" w14:paraId="1430B268" w14:textId="77777777" w:rsidTr="002E4CEE">
        <w:trPr>
          <w:trHeight w:val="280"/>
        </w:trPr>
        <w:tc>
          <w:tcPr>
            <w:tcW w:w="5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A8CBE" w14:textId="4B515F4F" w:rsidR="001355AC" w:rsidRPr="00EC4F3B" w:rsidRDefault="0097736C" w:rsidP="0097736C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15)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6050E" w14:textId="77777777" w:rsidR="001355AC" w:rsidRPr="00EC4F3B" w:rsidRDefault="001355AC" w:rsidP="00135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CAE1F" w14:textId="77777777" w:rsidR="001355AC" w:rsidRPr="00EC4F3B" w:rsidRDefault="001355AC" w:rsidP="00135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1355AC" w:rsidRPr="00EC4F3B" w14:paraId="6874490D" w14:textId="77777777" w:rsidTr="002E4CEE">
        <w:trPr>
          <w:trHeight w:val="1121"/>
        </w:trPr>
        <w:tc>
          <w:tcPr>
            <w:tcW w:w="5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1F07AF3" w14:textId="03C67337" w:rsidR="001E6739" w:rsidRPr="00EC4F3B" w:rsidRDefault="001E6739" w:rsidP="00135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Setkání Vedoucích la</w:t>
            </w:r>
            <w:r w:rsidR="00590D19"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boratoří k tématu “Kontaktní místo pro nově nastupující zaměstnance</w:t>
            </w: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”</w:t>
            </w:r>
          </w:p>
          <w:p w14:paraId="12743F61" w14:textId="10B02A35" w:rsidR="001E6739" w:rsidRPr="00EC4F3B" w:rsidRDefault="001E6739" w:rsidP="00135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149F4AC3" w14:textId="61BB0DA5" w:rsidR="00326307" w:rsidRPr="00EC4F3B" w:rsidRDefault="001E6739" w:rsidP="00135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V rámci přípravy žádosti o HR AWARD</w:t>
            </w:r>
            <w:r w:rsidR="00F226FF">
              <w:rPr>
                <w:rFonts w:ascii="Calibri" w:eastAsia="Times New Roman" w:hAnsi="Calibri" w:cs="Calibri"/>
                <w:color w:val="000000"/>
                <w:lang w:val="cs-CZ"/>
              </w:rPr>
              <w:t>,</w:t>
            </w: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byla na základě podnětů členů konzultační skupiny identifikována potřeba jasněji deklarovat </w:t>
            </w:r>
            <w:r w:rsidR="00B81488">
              <w:rPr>
                <w:rFonts w:ascii="Calibri" w:eastAsia="Times New Roman" w:hAnsi="Calibri" w:cs="Calibri"/>
                <w:color w:val="000000"/>
                <w:lang w:val="cs-CZ"/>
              </w:rPr>
              <w:t>na koho</w:t>
            </w:r>
            <w:r w:rsidR="00046AB1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se mají obracet zej</w:t>
            </w:r>
            <w:r w:rsidR="00326307" w:rsidRPr="00EC4F3B">
              <w:rPr>
                <w:rFonts w:ascii="Calibri" w:eastAsia="Times New Roman" w:hAnsi="Calibri" w:cs="Calibri"/>
                <w:color w:val="000000"/>
                <w:lang w:val="cs-CZ"/>
              </w:rPr>
              <w:t>ména nově příchozí zaměstnanci, pokud chtějí získat informace o Instituci a jejích procesech.</w:t>
            </w:r>
          </w:p>
          <w:p w14:paraId="6C2C98EC" w14:textId="503056DE" w:rsidR="00326307" w:rsidRPr="00EC4F3B" w:rsidRDefault="00326307" w:rsidP="00135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Řídící výbor (složený z části z nejvyššího managementu) rozhodl, že tato otázka je plně v kompetenci Vedoucích laboratoří. Bude uspořádán meeting, na kterém budou o této skutečnosti </w:t>
            </w: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lastRenderedPageBreak/>
              <w:t>informováni.</w:t>
            </w:r>
            <w:r w:rsidR="00EA2F6E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Sami získají lepší přehled o procesech a instituci na základě splnění akcí Akčního plánu číslo 9-11.</w:t>
            </w:r>
          </w:p>
          <w:p w14:paraId="357D25B4" w14:textId="77777777" w:rsidR="001E6739" w:rsidRPr="00EC4F3B" w:rsidRDefault="001E6739" w:rsidP="00135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4E4FCDCF" w14:textId="2B720E30" w:rsidR="001355AC" w:rsidRPr="00EC4F3B" w:rsidRDefault="001355AC" w:rsidP="00135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F54F" w14:textId="2F823A9D" w:rsidR="004A63D3" w:rsidRPr="00EC4F3B" w:rsidRDefault="00F1720A" w:rsidP="00135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lastRenderedPageBreak/>
              <w:t>GAP Principy</w:t>
            </w:r>
            <w:r w:rsidR="001355AC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</w:t>
            </w:r>
          </w:p>
          <w:p w14:paraId="66C214DB" w14:textId="28DE43D4" w:rsidR="0007218C" w:rsidRPr="00EC4F3B" w:rsidRDefault="0007218C" w:rsidP="0007218C">
            <w:pPr>
              <w:pStyle w:val="TableParagraph"/>
              <w:spacing w:before="80" w:line="235" w:lineRule="auto"/>
              <w:ind w:left="0" w:right="118"/>
              <w:rPr>
                <w:rFonts w:asciiTheme="minorHAnsi" w:hAnsiTheme="minorHAnsi" w:cstheme="minorHAnsi"/>
                <w:color w:val="231F1F"/>
                <w:sz w:val="21"/>
                <w:szCs w:val="21"/>
                <w:lang w:val="cs-CZ"/>
              </w:rPr>
            </w:pPr>
            <w:r w:rsidRPr="00EC4F3B">
              <w:rPr>
                <w:rFonts w:asciiTheme="minorHAnsi" w:hAnsiTheme="minorHAnsi" w:cstheme="minorHAnsi"/>
                <w:sz w:val="21"/>
                <w:szCs w:val="21"/>
                <w:lang w:val="cs-CZ"/>
              </w:rPr>
              <w:t>4. Profesionální přístup</w:t>
            </w:r>
            <w:r w:rsidRPr="00EC4F3B">
              <w:rPr>
                <w:rFonts w:asciiTheme="minorHAnsi" w:hAnsiTheme="minorHAnsi" w:cstheme="minorHAnsi"/>
                <w:color w:val="231F1F"/>
                <w:sz w:val="21"/>
                <w:szCs w:val="21"/>
                <w:lang w:val="cs-CZ"/>
              </w:rPr>
              <w:t xml:space="preserve"> </w:t>
            </w:r>
            <w:r w:rsidRPr="00EC4F3B">
              <w:rPr>
                <w:bCs/>
                <w:sz w:val="21"/>
                <w:szCs w:val="21"/>
                <w:lang w:val="cs-CZ"/>
              </w:rPr>
              <w:t xml:space="preserve"> (+/-)</w:t>
            </w:r>
          </w:p>
          <w:p w14:paraId="669755A3" w14:textId="71DCD688" w:rsidR="001355AC" w:rsidRPr="00EC4F3B" w:rsidRDefault="001355AC" w:rsidP="00135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 </w:t>
            </w:r>
          </w:p>
          <w:p w14:paraId="56BD4D71" w14:textId="77777777" w:rsidR="001355AC" w:rsidRPr="00EC4F3B" w:rsidRDefault="001355AC" w:rsidP="00135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D23A" w14:textId="171A3FC0" w:rsidR="001355AC" w:rsidRPr="00EC4F3B" w:rsidRDefault="001756D5" w:rsidP="00135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748B9BAA" w14:textId="7067D18C" w:rsidR="002045F8" w:rsidRPr="00EC4F3B" w:rsidRDefault="001355AC" w:rsidP="001355AC">
            <w:pPr>
              <w:rPr>
                <w:rFonts w:ascii="Calibri" w:eastAsia="Times New Roman" w:hAnsi="Calibri" w:cs="Calibri"/>
                <w:lang w:val="cs-CZ"/>
              </w:rPr>
            </w:pPr>
            <w:r w:rsidRPr="00EC4F3B">
              <w:rPr>
                <w:rFonts w:ascii="Calibri" w:eastAsia="Times New Roman" w:hAnsi="Calibri" w:cs="Calibri"/>
                <w:lang w:val="cs-CZ"/>
              </w:rPr>
              <w:t>3Q/202</w:t>
            </w:r>
            <w:r w:rsidR="0097736C" w:rsidRPr="00EC4F3B">
              <w:rPr>
                <w:rFonts w:ascii="Calibri" w:eastAsia="Times New Roman" w:hAnsi="Calibri" w:cs="Calibri"/>
                <w:lang w:val="cs-CZ"/>
              </w:rPr>
              <w:t>2</w:t>
            </w:r>
            <w:r w:rsidRPr="00EC4F3B">
              <w:rPr>
                <w:rFonts w:ascii="Calibri" w:eastAsia="Times New Roman" w:hAnsi="Calibri" w:cs="Calibri"/>
                <w:lang w:val="cs-CZ"/>
              </w:rPr>
              <w:t xml:space="preserve"> </w:t>
            </w:r>
            <w:r w:rsidR="002045F8" w:rsidRPr="00EC4F3B">
              <w:rPr>
                <w:rFonts w:ascii="Calibri" w:eastAsia="Times New Roman" w:hAnsi="Calibri" w:cs="Calibri"/>
                <w:lang w:val="cs-CZ"/>
              </w:rPr>
              <w:t>začátek, časově neohraničeno</w:t>
            </w:r>
          </w:p>
          <w:p w14:paraId="329DBD4F" w14:textId="7E6FCA78" w:rsidR="001355AC" w:rsidRPr="00EC4F3B" w:rsidRDefault="001355AC" w:rsidP="001355AC">
            <w:pPr>
              <w:rPr>
                <w:rFonts w:ascii="Calibri" w:eastAsia="Times New Roman" w:hAnsi="Calibri" w:cs="Calibri"/>
                <w:lang w:val="cs-CZ"/>
              </w:rPr>
            </w:pPr>
          </w:p>
        </w:tc>
      </w:tr>
      <w:tr w:rsidR="001355AC" w:rsidRPr="00EC4F3B" w14:paraId="343AE4E0" w14:textId="77777777" w:rsidTr="002E4CEE">
        <w:trPr>
          <w:trHeight w:val="919"/>
        </w:trPr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37141" w14:textId="77777777" w:rsidR="001355AC" w:rsidRPr="00EC4F3B" w:rsidRDefault="001355AC" w:rsidP="00135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972D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4051E28F" w14:textId="3EB2D224" w:rsidR="001756D5" w:rsidRPr="00EC4F3B" w:rsidRDefault="001756D5" w:rsidP="00D81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358FDEB0" w14:textId="706BCBB1" w:rsidR="001355AC" w:rsidRPr="00EC4F3B" w:rsidRDefault="001355AC" w:rsidP="004A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105C" w14:textId="6D34798E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11282B8F" w14:textId="68CBE061" w:rsidR="001756D5" w:rsidRPr="00EC4F3B" w:rsidRDefault="001756D5" w:rsidP="00FA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Prezenční listiny</w:t>
            </w:r>
          </w:p>
          <w:p w14:paraId="0E74DC7A" w14:textId="2C596D9A" w:rsidR="001355AC" w:rsidRPr="00EC4F3B" w:rsidRDefault="001355AC" w:rsidP="0017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51CA8E7F" w14:textId="5CD1FAD6" w:rsidR="00B4656B" w:rsidRPr="00EC4F3B" w:rsidRDefault="00B4656B" w:rsidP="0028350A">
      <w:pPr>
        <w:rPr>
          <w:lang w:val="cs-CZ"/>
        </w:rPr>
      </w:pPr>
    </w:p>
    <w:p w14:paraId="68B8A4B6" w14:textId="77777777" w:rsidR="00B4656B" w:rsidRPr="00EC4F3B" w:rsidRDefault="00B4656B" w:rsidP="0028350A">
      <w:pPr>
        <w:rPr>
          <w:lang w:val="cs-CZ"/>
        </w:rPr>
      </w:pPr>
    </w:p>
    <w:tbl>
      <w:tblPr>
        <w:tblW w:w="14210" w:type="dxa"/>
        <w:tblInd w:w="-426" w:type="dxa"/>
        <w:tblLook w:val="04A0" w:firstRow="1" w:lastRow="0" w:firstColumn="1" w:lastColumn="0" w:noHBand="0" w:noVBand="1"/>
      </w:tblPr>
      <w:tblGrid>
        <w:gridCol w:w="284"/>
        <w:gridCol w:w="6238"/>
        <w:gridCol w:w="4182"/>
        <w:gridCol w:w="3506"/>
      </w:tblGrid>
      <w:tr w:rsidR="0028350A" w:rsidRPr="00EC4F3B" w14:paraId="647F671A" w14:textId="77777777" w:rsidTr="00AE05BF">
        <w:trPr>
          <w:trHeight w:val="280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EAAC" w14:textId="77777777" w:rsidR="0028350A" w:rsidRPr="00EC4F3B" w:rsidRDefault="0028350A" w:rsidP="002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DD0ED" w14:textId="0BC2466C" w:rsidR="0028350A" w:rsidRPr="00EC4F3B" w:rsidRDefault="0097736C" w:rsidP="0097736C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16)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50B75" w14:textId="77777777" w:rsidR="0028350A" w:rsidRPr="00EC4F3B" w:rsidRDefault="002835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56EFB" w14:textId="77777777" w:rsidR="0028350A" w:rsidRPr="00EC4F3B" w:rsidRDefault="002835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28350A" w:rsidRPr="00EC4F3B" w14:paraId="2202E6EC" w14:textId="77777777" w:rsidTr="00AE05BF">
        <w:trPr>
          <w:trHeight w:val="1121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6A33B12" w14:textId="77777777" w:rsidR="0028350A" w:rsidRPr="00EC4F3B" w:rsidRDefault="000B09D2" w:rsidP="002E4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 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1AC6" w14:textId="29FF2DB3" w:rsidR="00C209E6" w:rsidRPr="00EC4F3B" w:rsidRDefault="00C8593C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b/>
                <w:lang w:val="cs-CZ"/>
              </w:rPr>
            </w:pPr>
            <w:r w:rsidRPr="00EC4F3B">
              <w:rPr>
                <w:b/>
                <w:lang w:val="cs-CZ"/>
              </w:rPr>
              <w:t>Protokoly z oblastí</w:t>
            </w:r>
            <w:r w:rsidR="00EA2F6E" w:rsidRPr="00EC4F3B">
              <w:rPr>
                <w:b/>
                <w:lang w:val="cs-CZ"/>
              </w:rPr>
              <w:t xml:space="preserve"> BOZP</w:t>
            </w:r>
            <w:r w:rsidR="00C209E6" w:rsidRPr="00EC4F3B">
              <w:rPr>
                <w:b/>
                <w:lang w:val="cs-CZ"/>
              </w:rPr>
              <w:t xml:space="preserve"> </w:t>
            </w:r>
            <w:r w:rsidRPr="00EC4F3B">
              <w:rPr>
                <w:b/>
                <w:lang w:val="cs-CZ"/>
              </w:rPr>
              <w:t xml:space="preserve">a IT bezpečnosti </w:t>
            </w:r>
          </w:p>
          <w:p w14:paraId="701950C9" w14:textId="77777777" w:rsidR="00EA2F6E" w:rsidRPr="00EC4F3B" w:rsidRDefault="00EA2F6E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lang w:val="cs-CZ"/>
              </w:rPr>
            </w:pPr>
          </w:p>
          <w:p w14:paraId="427D8425" w14:textId="66D0E554" w:rsidR="00EA2F6E" w:rsidRPr="00EC4F3B" w:rsidRDefault="0099681F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lang w:val="cs-CZ"/>
              </w:rPr>
            </w:pPr>
            <w:r w:rsidRPr="00EC4F3B">
              <w:rPr>
                <w:lang w:val="cs-CZ"/>
              </w:rPr>
              <w:t>Protokoly o bezpečnosti práce, kterou školí přímo Vedoucí Laboratoří</w:t>
            </w:r>
            <w:r w:rsidR="00C209E6" w:rsidRPr="00EC4F3B">
              <w:rPr>
                <w:lang w:val="cs-CZ"/>
              </w:rPr>
              <w:t xml:space="preserve"> (zaměřeno vždy na konkrétní laboratoř)</w:t>
            </w:r>
            <w:r w:rsidRPr="00EC4F3B">
              <w:rPr>
                <w:lang w:val="cs-CZ"/>
              </w:rPr>
              <w:t xml:space="preserve"> budou naskenované a k dispozici na HR oddělení.</w:t>
            </w:r>
          </w:p>
          <w:p w14:paraId="08D2F92A" w14:textId="1D80C780" w:rsidR="00EA2F6E" w:rsidRPr="00EC4F3B" w:rsidRDefault="00EA2F6E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lang w:val="cs-CZ"/>
              </w:rPr>
            </w:pPr>
          </w:p>
          <w:p w14:paraId="48EDA243" w14:textId="18135E65" w:rsidR="00C209E6" w:rsidRPr="00EC4F3B" w:rsidRDefault="00C209E6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lang w:val="cs-CZ"/>
              </w:rPr>
            </w:pPr>
            <w:r w:rsidRPr="00EC4F3B">
              <w:rPr>
                <w:lang w:val="cs-CZ"/>
              </w:rPr>
              <w:t>IT Team sepíše bezpečnostní doporučení o počínání v oblasti informačních technologií</w:t>
            </w:r>
            <w:r w:rsidR="00903E6F" w:rsidRPr="00EC4F3B">
              <w:rPr>
                <w:lang w:val="cs-CZ"/>
              </w:rPr>
              <w:t>. S materiálem budou seznámeni všichni zaměstnanci.</w:t>
            </w:r>
          </w:p>
          <w:p w14:paraId="19574473" w14:textId="77777777" w:rsidR="0028350A" w:rsidRPr="00EC4F3B" w:rsidRDefault="0028350A" w:rsidP="00903E6F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F3AA" w14:textId="60324AAF" w:rsidR="0007218C" w:rsidRPr="00EC4F3B" w:rsidRDefault="00F172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28350A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1A293F8A" w14:textId="6E04DD2B" w:rsidR="0007218C" w:rsidRPr="00EC4F3B" w:rsidRDefault="0007218C" w:rsidP="00DE2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4. Profesionální přístup  (+/-)</w:t>
            </w:r>
          </w:p>
          <w:p w14:paraId="4BA5B6B4" w14:textId="4696B59A" w:rsidR="0007218C" w:rsidRPr="00EC4F3B" w:rsidRDefault="0007218C" w:rsidP="00DE2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5. Smluvní a legislativní povinnosti (+/-)</w:t>
            </w:r>
          </w:p>
          <w:p w14:paraId="1EC19F6D" w14:textId="7347B65E" w:rsidR="0007218C" w:rsidRPr="00EC4F3B" w:rsidRDefault="0007218C" w:rsidP="00DE2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7. Osvědčené postupy v oblasti výzkumu </w:t>
            </w:r>
            <w:r w:rsidR="00DE29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(+/-)</w:t>
            </w:r>
          </w:p>
          <w:p w14:paraId="61098884" w14:textId="77777777" w:rsidR="0007218C" w:rsidRPr="00EC4F3B" w:rsidRDefault="0007218C" w:rsidP="0007218C">
            <w:pPr>
              <w:pStyle w:val="TableParagraph"/>
              <w:spacing w:before="80" w:line="235" w:lineRule="auto"/>
              <w:ind w:left="0" w:right="118"/>
              <w:rPr>
                <w:rFonts w:asciiTheme="minorHAnsi" w:hAnsiTheme="minorHAnsi" w:cstheme="minorHAnsi"/>
                <w:b/>
                <w:color w:val="231F1F"/>
                <w:sz w:val="21"/>
                <w:szCs w:val="21"/>
                <w:lang w:val="cs-CZ"/>
              </w:rPr>
            </w:pPr>
          </w:p>
          <w:p w14:paraId="759041A0" w14:textId="212C2E49" w:rsidR="0028350A" w:rsidRPr="00EC4F3B" w:rsidRDefault="0028350A" w:rsidP="0007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bCs/>
                <w:sz w:val="21"/>
                <w:szCs w:val="21"/>
                <w:lang w:val="cs-CZ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9BF9" w14:textId="4A40F539" w:rsidR="0028350A" w:rsidRPr="00EC4F3B" w:rsidRDefault="0028350A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</w:t>
            </w:r>
            <w:r w:rsidR="001756D5"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ermín</w:t>
            </w:r>
          </w:p>
          <w:p w14:paraId="585F7536" w14:textId="6120888F" w:rsidR="002045F8" w:rsidRPr="00EC4F3B" w:rsidRDefault="0028350A" w:rsidP="002E4C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3Q/2021</w:t>
            </w:r>
            <w:r w:rsidR="00326F50"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, </w:t>
            </w:r>
            <w:r w:rsidR="002045F8" w:rsidRPr="00EC4F3B">
              <w:rPr>
                <w:rFonts w:ascii="Calibri" w:eastAsia="Times New Roman" w:hAnsi="Calibri" w:cs="Calibri"/>
                <w:lang w:val="cs-CZ"/>
              </w:rPr>
              <w:t>začátek, časově neohraničeno</w:t>
            </w:r>
          </w:p>
          <w:p w14:paraId="42967B3F" w14:textId="390C71C3" w:rsidR="0028350A" w:rsidRPr="00EC4F3B" w:rsidRDefault="0028350A" w:rsidP="002E4C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</w:p>
        </w:tc>
      </w:tr>
      <w:tr w:rsidR="0028350A" w:rsidRPr="00EC4F3B" w14:paraId="248D3BF6" w14:textId="77777777" w:rsidTr="00AE05BF">
        <w:trPr>
          <w:trHeight w:val="53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A6B3" w14:textId="77777777" w:rsidR="0028350A" w:rsidRPr="00EC4F3B" w:rsidRDefault="0028350A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1F5C" w14:textId="77777777" w:rsidR="0028350A" w:rsidRPr="00EC4F3B" w:rsidRDefault="002835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EEAE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06CCA723" w14:textId="2DA8750B" w:rsidR="0091102B" w:rsidRPr="00EC4F3B" w:rsidRDefault="0091102B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Vedoucí laboratoří</w:t>
            </w:r>
          </w:p>
          <w:p w14:paraId="1E7275EC" w14:textId="329EED0E" w:rsidR="0091102B" w:rsidRPr="00EC4F3B" w:rsidRDefault="0091102B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Provozní úsek</w:t>
            </w:r>
          </w:p>
          <w:p w14:paraId="15F9058F" w14:textId="426C8988" w:rsidR="0091102B" w:rsidRPr="00EC4F3B" w:rsidRDefault="0091102B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1DE083F8" w14:textId="77777777" w:rsidR="0028350A" w:rsidRPr="00EC4F3B" w:rsidRDefault="0028350A" w:rsidP="00911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FA24" w14:textId="2D750874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7DD20FF8" w14:textId="2E397CB2" w:rsidR="001756D5" w:rsidRPr="00EC4F3B" w:rsidRDefault="001756D5" w:rsidP="00FA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Protokoly k dispozici na Personálním úseku</w:t>
            </w:r>
          </w:p>
          <w:p w14:paraId="2522533C" w14:textId="77777777" w:rsidR="00FA11F9" w:rsidRPr="00EC4F3B" w:rsidRDefault="00FA11F9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6FFF0195" w14:textId="77777777" w:rsidR="0028350A" w:rsidRPr="00EC4F3B" w:rsidRDefault="002835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24EC9E9A" w14:textId="77777777" w:rsidR="0028350A" w:rsidRPr="00EC4F3B" w:rsidRDefault="002835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594200D1" w14:textId="3A1903E3" w:rsidR="00EF1F64" w:rsidRPr="00EC4F3B" w:rsidRDefault="00EF1F64" w:rsidP="0028350A">
      <w:pPr>
        <w:rPr>
          <w:lang w:val="cs-CZ"/>
        </w:rPr>
      </w:pPr>
    </w:p>
    <w:p w14:paraId="6CB6E1F8" w14:textId="3F07E460" w:rsidR="00903E6F" w:rsidRPr="00EC4F3B" w:rsidRDefault="00903E6F" w:rsidP="0028350A">
      <w:pPr>
        <w:rPr>
          <w:lang w:val="cs-CZ"/>
        </w:rPr>
      </w:pPr>
    </w:p>
    <w:p w14:paraId="39D918B8" w14:textId="08F995FA" w:rsidR="00903E6F" w:rsidRPr="00EC4F3B" w:rsidRDefault="00903E6F" w:rsidP="0028350A">
      <w:pPr>
        <w:rPr>
          <w:lang w:val="cs-CZ"/>
        </w:rPr>
      </w:pPr>
    </w:p>
    <w:p w14:paraId="69FB502A" w14:textId="693F4BDF" w:rsidR="0091102B" w:rsidRPr="00EC4F3B" w:rsidRDefault="0091102B" w:rsidP="0028350A">
      <w:pPr>
        <w:rPr>
          <w:lang w:val="cs-CZ"/>
        </w:rPr>
      </w:pPr>
    </w:p>
    <w:p w14:paraId="3C4EAA70" w14:textId="30ED7144" w:rsidR="0091102B" w:rsidRPr="00EC4F3B" w:rsidRDefault="0091102B" w:rsidP="0028350A">
      <w:pPr>
        <w:rPr>
          <w:lang w:val="cs-CZ"/>
        </w:rPr>
      </w:pPr>
    </w:p>
    <w:p w14:paraId="201F0ABB" w14:textId="77777777" w:rsidR="0091102B" w:rsidRPr="00EC4F3B" w:rsidRDefault="0091102B" w:rsidP="0028350A">
      <w:pPr>
        <w:rPr>
          <w:lang w:val="cs-CZ"/>
        </w:rPr>
      </w:pPr>
    </w:p>
    <w:p w14:paraId="160F1DB7" w14:textId="5CF3A8F4" w:rsidR="00903E6F" w:rsidRPr="00EC4F3B" w:rsidRDefault="00903E6F" w:rsidP="0028350A">
      <w:pPr>
        <w:rPr>
          <w:lang w:val="cs-CZ"/>
        </w:rPr>
      </w:pPr>
    </w:p>
    <w:p w14:paraId="0A5105D8" w14:textId="77777777" w:rsidR="000B09D2" w:rsidRPr="00EC4F3B" w:rsidRDefault="000B09D2" w:rsidP="0028350A">
      <w:pPr>
        <w:rPr>
          <w:lang w:val="cs-CZ"/>
        </w:rPr>
      </w:pPr>
    </w:p>
    <w:tbl>
      <w:tblPr>
        <w:tblW w:w="14351" w:type="dxa"/>
        <w:tblInd w:w="-567" w:type="dxa"/>
        <w:tblLook w:val="04A0" w:firstRow="1" w:lastRow="0" w:firstColumn="1" w:lastColumn="0" w:noHBand="0" w:noVBand="1"/>
      </w:tblPr>
      <w:tblGrid>
        <w:gridCol w:w="425"/>
        <w:gridCol w:w="6432"/>
        <w:gridCol w:w="3988"/>
        <w:gridCol w:w="3506"/>
      </w:tblGrid>
      <w:tr w:rsidR="0028350A" w:rsidRPr="00EC4F3B" w14:paraId="3DB1E353" w14:textId="77777777" w:rsidTr="00B61C2D">
        <w:trPr>
          <w:trHeight w:val="2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D5C1" w14:textId="77777777" w:rsidR="0028350A" w:rsidRPr="00EC4F3B" w:rsidRDefault="0028350A" w:rsidP="002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A4659" w14:textId="37146637" w:rsidR="0028350A" w:rsidRPr="00EC4F3B" w:rsidRDefault="0097736C" w:rsidP="0097736C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17)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3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99A20" w14:textId="77777777" w:rsidR="0028350A" w:rsidRPr="00EC4F3B" w:rsidRDefault="002835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A96A5" w14:textId="77777777" w:rsidR="0028350A" w:rsidRPr="00EC4F3B" w:rsidRDefault="002835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28350A" w:rsidRPr="00EC4F3B" w14:paraId="19A2625B" w14:textId="77777777" w:rsidTr="00B61C2D">
        <w:trPr>
          <w:trHeight w:val="112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C782" w14:textId="77777777" w:rsidR="0028350A" w:rsidRPr="00EC4F3B" w:rsidRDefault="0028350A" w:rsidP="00EF1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340735" w14:textId="5B3C4415" w:rsidR="0099681F" w:rsidRPr="00EC4F3B" w:rsidRDefault="0099681F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b/>
                <w:lang w:val="cs-CZ"/>
              </w:rPr>
            </w:pPr>
            <w:r w:rsidRPr="00EC4F3B">
              <w:rPr>
                <w:b/>
                <w:lang w:val="cs-CZ"/>
              </w:rPr>
              <w:t>Ustavení pozice mediátora</w:t>
            </w:r>
          </w:p>
          <w:p w14:paraId="536DF097" w14:textId="77777777" w:rsidR="00606441" w:rsidRPr="00EC4F3B" w:rsidRDefault="00606441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b/>
                <w:lang w:val="cs-CZ"/>
              </w:rPr>
            </w:pPr>
          </w:p>
          <w:p w14:paraId="2289B19A" w14:textId="06232C2D" w:rsidR="0099681F" w:rsidRPr="00EC4F3B" w:rsidRDefault="0099681F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lang w:val="cs-CZ"/>
              </w:rPr>
            </w:pPr>
            <w:r w:rsidRPr="00EC4F3B">
              <w:rPr>
                <w:lang w:val="cs-CZ"/>
              </w:rPr>
              <w:t xml:space="preserve">Etický kodex ÚŽFG bude obsahovat ustavení pozice mediátora, který bude pověřený řešením stížností a podnětů z oblasti nerovného zacházení, sexuálního obtěžování nebo </w:t>
            </w:r>
            <w:r w:rsidR="00606441" w:rsidRPr="00EC4F3B">
              <w:rPr>
                <w:lang w:val="cs-CZ"/>
              </w:rPr>
              <w:t xml:space="preserve">mezilidských konflikty na pracovišti. </w:t>
            </w:r>
          </w:p>
          <w:p w14:paraId="0E625F84" w14:textId="6CCD8891" w:rsidR="00606441" w:rsidRPr="00EC4F3B" w:rsidRDefault="00606441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lang w:val="cs-CZ"/>
              </w:rPr>
            </w:pPr>
            <w:r w:rsidRPr="00EC4F3B">
              <w:rPr>
                <w:lang w:val="cs-CZ"/>
              </w:rPr>
              <w:t>Všichni zaměstnanci budou o existenci madiátora informováni prostřednictvím e-mailu.</w:t>
            </w:r>
          </w:p>
          <w:p w14:paraId="23FD11B9" w14:textId="348BBEDB" w:rsidR="00606441" w:rsidRPr="00EC4F3B" w:rsidRDefault="00606441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lang w:val="cs-CZ"/>
              </w:rPr>
            </w:pPr>
            <w:r w:rsidRPr="00EC4F3B">
              <w:rPr>
                <w:lang w:val="cs-CZ"/>
              </w:rPr>
              <w:t>Informace bude poskytována také novým zaměstnancům v rámci Adaptačního programu.</w:t>
            </w:r>
          </w:p>
          <w:p w14:paraId="7025B97D" w14:textId="0B7443F9" w:rsidR="00606441" w:rsidRPr="00EC4F3B" w:rsidRDefault="00606441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lang w:val="cs-CZ"/>
              </w:rPr>
            </w:pPr>
            <w:r w:rsidRPr="00EC4F3B">
              <w:rPr>
                <w:lang w:val="cs-CZ"/>
              </w:rPr>
              <w:t>Podněty mediátorovi budou adresovány prostřednictvím speciálně zřízené e-mailové adresy.</w:t>
            </w:r>
          </w:p>
          <w:p w14:paraId="339196DE" w14:textId="3BAC9C0E" w:rsidR="00DC0E6E" w:rsidRPr="00EC4F3B" w:rsidRDefault="00DC0E6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9212" w14:textId="6ABB7025" w:rsidR="0028350A" w:rsidRPr="00EC4F3B" w:rsidRDefault="00F172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 xml:space="preserve">GAP Principy </w:t>
            </w:r>
            <w:r w:rsidR="0028350A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(+/-)  </w:t>
            </w:r>
          </w:p>
          <w:p w14:paraId="460610F9" w14:textId="1B86D54B" w:rsidR="00037D18" w:rsidRPr="00EC4F3B" w:rsidRDefault="00037D18" w:rsidP="00037D18">
            <w:pPr>
              <w:pStyle w:val="TableParagraph"/>
              <w:spacing w:before="78" w:line="243" w:lineRule="exact"/>
              <w:ind w:left="0"/>
              <w:rPr>
                <w:rFonts w:asciiTheme="minorHAnsi" w:hAnsiTheme="minorHAnsi" w:cstheme="minorHAnsi"/>
                <w:sz w:val="21"/>
                <w:szCs w:val="21"/>
                <w:lang w:val="cs-CZ"/>
              </w:rPr>
            </w:pPr>
            <w:r w:rsidRPr="00EC4F3B">
              <w:rPr>
                <w:rFonts w:asciiTheme="minorHAnsi" w:hAnsiTheme="minorHAnsi" w:cstheme="minorHAnsi"/>
                <w:sz w:val="21"/>
                <w:szCs w:val="21"/>
                <w:lang w:val="cs-CZ"/>
              </w:rPr>
              <w:t xml:space="preserve">34. Stížnosti a odvolání </w:t>
            </w:r>
            <w:r w:rsidRPr="00EC4F3B">
              <w:rPr>
                <w:bCs/>
                <w:sz w:val="20"/>
                <w:szCs w:val="20"/>
                <w:lang w:val="cs-CZ"/>
              </w:rPr>
              <w:t>(</w:t>
            </w:r>
            <w:r w:rsidRPr="00EC4F3B">
              <w:rPr>
                <w:sz w:val="20"/>
                <w:szCs w:val="20"/>
                <w:lang w:val="cs-CZ"/>
              </w:rPr>
              <w:t>+/-)</w:t>
            </w:r>
          </w:p>
          <w:p w14:paraId="05B545BB" w14:textId="0C2342A9" w:rsidR="0028350A" w:rsidRPr="00EC4F3B" w:rsidRDefault="00366BB4" w:rsidP="00911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bCs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D55A" w14:textId="39E5CA57" w:rsidR="0028350A" w:rsidRPr="00EC4F3B" w:rsidRDefault="0028350A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</w:t>
            </w:r>
            <w:r w:rsidR="0091102B"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ermín</w:t>
            </w:r>
          </w:p>
          <w:p w14:paraId="50459CEF" w14:textId="3FC0FCAD" w:rsidR="0028350A" w:rsidRPr="00EC4F3B" w:rsidRDefault="0028350A" w:rsidP="009110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2Q/2021</w:t>
            </w:r>
            <w:r w:rsidR="00326F50"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, </w:t>
            </w:r>
            <w:r w:rsidR="002045F8" w:rsidRPr="00EC4F3B">
              <w:rPr>
                <w:rFonts w:ascii="Calibri" w:eastAsia="Times New Roman" w:hAnsi="Calibri" w:cs="Calibri"/>
                <w:lang w:val="cs-CZ"/>
              </w:rPr>
              <w:t>začátek, časově neohraničeno</w:t>
            </w:r>
          </w:p>
        </w:tc>
      </w:tr>
      <w:tr w:rsidR="0028350A" w:rsidRPr="00EC4F3B" w14:paraId="196AFF7A" w14:textId="77777777" w:rsidTr="00B61C2D">
        <w:trPr>
          <w:trHeight w:val="9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F542" w14:textId="77777777" w:rsidR="0028350A" w:rsidRPr="00EC4F3B" w:rsidRDefault="0028350A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4A14A" w14:textId="77777777" w:rsidR="0028350A" w:rsidRPr="00EC4F3B" w:rsidRDefault="002835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FB5E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41FF76FF" w14:textId="703133B8" w:rsidR="00F1720A" w:rsidRPr="00EC4F3B" w:rsidRDefault="0091102B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2A9A0511" w14:textId="52920B7B" w:rsidR="0091102B" w:rsidRPr="00EC4F3B" w:rsidRDefault="0091102B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IT tým</w:t>
            </w:r>
          </w:p>
          <w:p w14:paraId="0027CDCC" w14:textId="47CF50D0" w:rsidR="0028350A" w:rsidRPr="00EC4F3B" w:rsidRDefault="002835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B786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598D365A" w14:textId="51394B40" w:rsidR="0028350A" w:rsidRPr="00EC4F3B" w:rsidRDefault="00911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Všichni zaměstnanci budou o existence mediátora informováni e-mailem.</w:t>
            </w:r>
          </w:p>
        </w:tc>
      </w:tr>
    </w:tbl>
    <w:p w14:paraId="38D7AA90" w14:textId="7E90BFAD" w:rsidR="0028350A" w:rsidRDefault="0028350A" w:rsidP="0028350A">
      <w:pPr>
        <w:rPr>
          <w:lang w:val="cs-CZ"/>
        </w:rPr>
      </w:pPr>
    </w:p>
    <w:p w14:paraId="12164B2F" w14:textId="7C4EFCF2" w:rsidR="00F226FF" w:rsidRDefault="00F226FF" w:rsidP="0028350A">
      <w:pPr>
        <w:rPr>
          <w:lang w:val="cs-CZ"/>
        </w:rPr>
      </w:pPr>
    </w:p>
    <w:p w14:paraId="7D4ADCED" w14:textId="3C0A6A9B" w:rsidR="00F226FF" w:rsidRDefault="00F226FF" w:rsidP="0028350A">
      <w:pPr>
        <w:rPr>
          <w:lang w:val="cs-CZ"/>
        </w:rPr>
      </w:pPr>
    </w:p>
    <w:p w14:paraId="76A8958C" w14:textId="77777777" w:rsidR="00F226FF" w:rsidRPr="00EC4F3B" w:rsidRDefault="00F226FF" w:rsidP="0028350A">
      <w:pPr>
        <w:rPr>
          <w:lang w:val="cs-CZ"/>
        </w:rPr>
      </w:pPr>
    </w:p>
    <w:p w14:paraId="44B7157A" w14:textId="77777777" w:rsidR="00D374FC" w:rsidRPr="00EC4F3B" w:rsidRDefault="00D374FC" w:rsidP="00D374FC">
      <w:pPr>
        <w:rPr>
          <w:lang w:val="cs-CZ"/>
        </w:rPr>
      </w:pPr>
    </w:p>
    <w:tbl>
      <w:tblPr>
        <w:tblW w:w="14441" w:type="dxa"/>
        <w:tblInd w:w="-567" w:type="dxa"/>
        <w:tblLook w:val="04A0" w:firstRow="1" w:lastRow="0" w:firstColumn="1" w:lastColumn="0" w:noHBand="0" w:noVBand="1"/>
      </w:tblPr>
      <w:tblGrid>
        <w:gridCol w:w="425"/>
        <w:gridCol w:w="6522"/>
        <w:gridCol w:w="3898"/>
        <w:gridCol w:w="3596"/>
      </w:tblGrid>
      <w:tr w:rsidR="00D374FC" w:rsidRPr="00EC4F3B" w14:paraId="759D226A" w14:textId="77777777" w:rsidTr="0091102B">
        <w:trPr>
          <w:trHeight w:val="2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C7E1" w14:textId="77777777" w:rsidR="00D374FC" w:rsidRPr="00EC4F3B" w:rsidRDefault="00D374FC" w:rsidP="002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3E56B" w14:textId="24A222AD" w:rsidR="00D374FC" w:rsidRPr="00EC4F3B" w:rsidRDefault="0097736C" w:rsidP="0097736C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18)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51C2E" w14:textId="77777777" w:rsidR="00D374FC" w:rsidRPr="00EC4F3B" w:rsidRDefault="00D374FC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6D02C" w14:textId="77777777" w:rsidR="00D374FC" w:rsidRPr="00EC4F3B" w:rsidRDefault="00D374FC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D374FC" w:rsidRPr="00EC4F3B" w14:paraId="75C46606" w14:textId="77777777" w:rsidTr="0091102B">
        <w:trPr>
          <w:trHeight w:val="112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E3538" w14:textId="77777777" w:rsidR="00D374FC" w:rsidRPr="00EC4F3B" w:rsidRDefault="00D374FC" w:rsidP="002E4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58C70CB" w14:textId="381F2296" w:rsidR="00D374FC" w:rsidRPr="00EC4F3B" w:rsidRDefault="00606441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b/>
                <w:lang w:val="cs-CZ"/>
              </w:rPr>
            </w:pPr>
            <w:r w:rsidRPr="00EC4F3B">
              <w:rPr>
                <w:b/>
                <w:lang w:val="cs-CZ"/>
              </w:rPr>
              <w:t>Problematika nerovných příležitostí žen i mužů (gender)</w:t>
            </w:r>
          </w:p>
          <w:p w14:paraId="78490D95" w14:textId="259AF6C8" w:rsidR="00606441" w:rsidRPr="00EC4F3B" w:rsidRDefault="00606441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b/>
                <w:lang w:val="cs-CZ"/>
              </w:rPr>
            </w:pPr>
          </w:p>
          <w:p w14:paraId="44FA0EA1" w14:textId="52BD2163" w:rsidR="00606441" w:rsidRPr="00EC4F3B" w:rsidRDefault="00606441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lang w:val="cs-CZ"/>
              </w:rPr>
            </w:pPr>
            <w:r w:rsidRPr="00EC4F3B">
              <w:rPr>
                <w:lang w:val="cs-CZ"/>
              </w:rPr>
              <w:t>Instituce se zapojí do průzkumu MPSV (22% k rovnosti)</w:t>
            </w:r>
            <w:r w:rsidR="00E1019D" w:rsidRPr="00EC4F3B">
              <w:rPr>
                <w:lang w:val="cs-CZ"/>
              </w:rPr>
              <w:t>. Tento průzkum monitoruje rozdíly ve mzdách na základě</w:t>
            </w:r>
            <w:r w:rsidR="00E1019D" w:rsidRPr="00EC4F3B">
              <w:rPr>
                <w:b/>
                <w:lang w:val="cs-CZ"/>
              </w:rPr>
              <w:t xml:space="preserve"> </w:t>
            </w:r>
            <w:r w:rsidR="00903E6F" w:rsidRPr="00EC4F3B">
              <w:rPr>
                <w:lang w:val="cs-CZ"/>
              </w:rPr>
              <w:t xml:space="preserve">příslušnosti k jednotlivým pohlavím. </w:t>
            </w:r>
          </w:p>
          <w:p w14:paraId="27D01894" w14:textId="45FF18CB" w:rsidR="00D374FC" w:rsidRPr="00EC4F3B" w:rsidRDefault="00D374FC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B0EA" w14:textId="15EA8E60" w:rsidR="00D374FC" w:rsidRPr="00EC4F3B" w:rsidRDefault="00F172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D374FC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3DA3ABEA" w14:textId="30321A80" w:rsidR="00037D18" w:rsidRPr="00EC4F3B" w:rsidRDefault="00037D18" w:rsidP="00037D18">
            <w:pPr>
              <w:pStyle w:val="TableParagraph"/>
              <w:spacing w:before="78"/>
              <w:ind w:left="0"/>
              <w:rPr>
                <w:rFonts w:asciiTheme="minorHAnsi" w:hAnsiTheme="minorHAnsi" w:cstheme="minorHAnsi"/>
                <w:sz w:val="21"/>
                <w:szCs w:val="21"/>
                <w:lang w:val="cs-CZ"/>
              </w:rPr>
            </w:pPr>
            <w:r w:rsidRPr="00EC4F3B">
              <w:rPr>
                <w:rFonts w:asciiTheme="minorHAnsi" w:hAnsiTheme="minorHAnsi" w:cstheme="minorHAnsi"/>
                <w:sz w:val="21"/>
                <w:szCs w:val="21"/>
                <w:lang w:val="cs-CZ"/>
              </w:rPr>
              <w:t xml:space="preserve">27. Rovnost mezi pohlavími </w:t>
            </w:r>
            <w:r w:rsidRPr="00EC4F3B">
              <w:rPr>
                <w:rFonts w:eastAsia="Times New Roman"/>
                <w:color w:val="000000"/>
                <w:lang w:val="cs-CZ"/>
              </w:rPr>
              <w:t xml:space="preserve">(+/-)  </w:t>
            </w:r>
          </w:p>
          <w:p w14:paraId="687F5A27" w14:textId="77777777" w:rsidR="00D374FC" w:rsidRPr="00EC4F3B" w:rsidRDefault="00D374FC" w:rsidP="002E4CEE">
            <w:pPr>
              <w:spacing w:after="0"/>
              <w:ind w:left="2"/>
              <w:rPr>
                <w:b/>
                <w:bCs/>
                <w:lang w:val="cs-CZ"/>
              </w:rPr>
            </w:pPr>
          </w:p>
          <w:p w14:paraId="78B269B3" w14:textId="77777777" w:rsidR="00D374FC" w:rsidRPr="00EC4F3B" w:rsidRDefault="00D374FC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6F8DE891" w14:textId="77777777" w:rsidR="00D374FC" w:rsidRPr="00EC4F3B" w:rsidRDefault="00D374FC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FC49" w14:textId="5DEF2374" w:rsidR="00D374FC" w:rsidRPr="00EC4F3B" w:rsidRDefault="0091102B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101E4EDE" w14:textId="77777777" w:rsidR="00D374FC" w:rsidRPr="00EC4F3B" w:rsidRDefault="000B09D2" w:rsidP="002E4C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2</w:t>
            </w:r>
            <w:r w:rsidR="00D374FC"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Q/2022</w:t>
            </w:r>
          </w:p>
        </w:tc>
      </w:tr>
      <w:tr w:rsidR="00D374FC" w:rsidRPr="00EC4F3B" w14:paraId="19CCFFA0" w14:textId="77777777" w:rsidTr="0091102B">
        <w:trPr>
          <w:trHeight w:val="9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EA0C" w14:textId="77777777" w:rsidR="00D374FC" w:rsidRPr="00EC4F3B" w:rsidRDefault="00D374FC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17733" w14:textId="77777777" w:rsidR="00D374FC" w:rsidRPr="00EC4F3B" w:rsidRDefault="00D374FC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225D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45B9BF6C" w14:textId="3E957EAF" w:rsidR="00D374FC" w:rsidRPr="00EC4F3B" w:rsidRDefault="0091102B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9511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50B7D664" w14:textId="06B3B228" w:rsidR="00FA11F9" w:rsidRPr="00EC4F3B" w:rsidRDefault="0091102B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Zpráva z výsledků výzkumu</w:t>
            </w:r>
          </w:p>
          <w:p w14:paraId="2794FD7A" w14:textId="36C6568A" w:rsidR="00D374FC" w:rsidRPr="00EC4F3B" w:rsidRDefault="00D374FC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389D6CA7" w14:textId="195EEA38" w:rsidR="000B09D2" w:rsidRPr="00EC4F3B" w:rsidRDefault="000B09D2" w:rsidP="00C44764">
      <w:pPr>
        <w:rPr>
          <w:lang w:val="cs-CZ"/>
        </w:rPr>
      </w:pPr>
    </w:p>
    <w:p w14:paraId="694C3132" w14:textId="2B08369D" w:rsidR="00037D18" w:rsidRPr="00EC4F3B" w:rsidRDefault="00037D18" w:rsidP="00C44764">
      <w:pPr>
        <w:rPr>
          <w:lang w:val="cs-CZ"/>
        </w:rPr>
      </w:pPr>
    </w:p>
    <w:p w14:paraId="7523EAA4" w14:textId="77777777" w:rsidR="00037D18" w:rsidRPr="00EC4F3B" w:rsidRDefault="00037D18" w:rsidP="00C44764">
      <w:pPr>
        <w:rPr>
          <w:lang w:val="cs-CZ"/>
        </w:rPr>
      </w:pPr>
    </w:p>
    <w:tbl>
      <w:tblPr>
        <w:tblW w:w="13874" w:type="dxa"/>
        <w:tblLook w:val="04A0" w:firstRow="1" w:lastRow="0" w:firstColumn="1" w:lastColumn="0" w:noHBand="0" w:noVBand="1"/>
      </w:tblPr>
      <w:tblGrid>
        <w:gridCol w:w="284"/>
        <w:gridCol w:w="6096"/>
        <w:gridCol w:w="3898"/>
        <w:gridCol w:w="3596"/>
      </w:tblGrid>
      <w:tr w:rsidR="00C44764" w:rsidRPr="00EC4F3B" w14:paraId="75004C06" w14:textId="77777777" w:rsidTr="002F3E30"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13D2" w14:textId="77777777" w:rsidR="00C44764" w:rsidRPr="00EC4F3B" w:rsidRDefault="00C44764" w:rsidP="002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B07E6" w14:textId="7B190064" w:rsidR="00C44764" w:rsidRPr="00EC4F3B" w:rsidRDefault="0097736C" w:rsidP="0097736C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19)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AEDA0" w14:textId="77777777" w:rsidR="00C44764" w:rsidRPr="00EC4F3B" w:rsidRDefault="00C44764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B029F" w14:textId="77777777" w:rsidR="00C44764" w:rsidRPr="00EC4F3B" w:rsidRDefault="00C44764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C44764" w:rsidRPr="00EC4F3B" w14:paraId="76622FA7" w14:textId="77777777" w:rsidTr="002F3E30">
        <w:trPr>
          <w:trHeight w:val="11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18036" w14:textId="77777777" w:rsidR="00C44764" w:rsidRPr="00EC4F3B" w:rsidRDefault="00C44764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937C85D" w14:textId="6C0D96D4" w:rsidR="00903E6F" w:rsidRPr="00EC4F3B" w:rsidRDefault="00903E6F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Rozšíření zápisu z atestací</w:t>
            </w:r>
          </w:p>
          <w:p w14:paraId="606027F1" w14:textId="63E93C2A" w:rsidR="00903E6F" w:rsidRPr="00EC4F3B" w:rsidRDefault="00903E6F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05B5FB84" w14:textId="49332FBC" w:rsidR="00903E6F" w:rsidRPr="00EC4F3B" w:rsidRDefault="00903E6F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Atestační pro</w:t>
            </w:r>
            <w:r w:rsidR="00F226FF">
              <w:rPr>
                <w:rFonts w:ascii="Calibri" w:eastAsia="Times New Roman" w:hAnsi="Calibri" w:cs="Calibri"/>
                <w:color w:val="000000"/>
                <w:lang w:val="cs-CZ"/>
              </w:rPr>
              <w:t>to</w:t>
            </w: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koly budou rozšířeny o doporučení pro další kariérní rozvoj jednotlivých hodnocených. </w:t>
            </w:r>
          </w:p>
          <w:p w14:paraId="4E6006BB" w14:textId="0379B03F" w:rsidR="00C44764" w:rsidRPr="00EC4F3B" w:rsidRDefault="00C44764" w:rsidP="00C44764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7E16" w14:textId="49B577FC" w:rsidR="00037D18" w:rsidRPr="005D6CEB" w:rsidRDefault="00F172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5D6CE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C44764" w:rsidRPr="005D6CE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0CF75739" w14:textId="4C2FA9D7" w:rsidR="00037D18" w:rsidRPr="005D6CEB" w:rsidRDefault="00037D18" w:rsidP="00037D18">
            <w:pPr>
              <w:pStyle w:val="TableParagraph"/>
              <w:spacing w:before="78"/>
              <w:ind w:left="0"/>
              <w:rPr>
                <w:rFonts w:asciiTheme="minorHAnsi" w:hAnsiTheme="minorHAnsi" w:cstheme="minorHAnsi"/>
                <w:sz w:val="21"/>
                <w:szCs w:val="21"/>
                <w:lang w:val="cs-CZ"/>
              </w:rPr>
            </w:pPr>
            <w:r w:rsidRPr="005D6CEB">
              <w:rPr>
                <w:rFonts w:asciiTheme="minorHAnsi" w:hAnsiTheme="minorHAnsi" w:cstheme="minorHAnsi"/>
                <w:sz w:val="21"/>
                <w:szCs w:val="21"/>
                <w:lang w:val="cs-CZ"/>
              </w:rPr>
              <w:t xml:space="preserve">28. Profesí rozvoj </w:t>
            </w:r>
            <w:r w:rsidRPr="005D6CEB">
              <w:rPr>
                <w:rFonts w:eastAsia="Times New Roman"/>
                <w:sz w:val="20"/>
                <w:szCs w:val="20"/>
                <w:lang w:val="cs-CZ"/>
              </w:rPr>
              <w:t>(+/-)</w:t>
            </w:r>
          </w:p>
          <w:p w14:paraId="1779BC2F" w14:textId="5B9378D1" w:rsidR="00C44764" w:rsidRPr="005D6CEB" w:rsidRDefault="00C44764" w:rsidP="00037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253A" w14:textId="362E8AD2" w:rsidR="00C44764" w:rsidRPr="00EC4F3B" w:rsidRDefault="0091102B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3AA47708" w14:textId="77777777" w:rsidR="002045F8" w:rsidRPr="00EC4F3B" w:rsidRDefault="00C44764" w:rsidP="0020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4Q/2021</w:t>
            </w:r>
            <w:r w:rsidR="00326F50"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, </w:t>
            </w:r>
            <w:r w:rsidR="002045F8" w:rsidRPr="00EC4F3B">
              <w:rPr>
                <w:rFonts w:ascii="Calibri" w:eastAsia="Times New Roman" w:hAnsi="Calibri" w:cs="Calibri"/>
                <w:lang w:val="cs-CZ"/>
              </w:rPr>
              <w:t>začátek, časově neohraničeno</w:t>
            </w:r>
          </w:p>
          <w:p w14:paraId="443ADCB6" w14:textId="77777777" w:rsidR="002045F8" w:rsidRPr="00EC4F3B" w:rsidRDefault="002045F8" w:rsidP="002E4C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</w:p>
          <w:p w14:paraId="75E1E6DA" w14:textId="4BBB1876" w:rsidR="00C44764" w:rsidRPr="00EC4F3B" w:rsidRDefault="00C44764" w:rsidP="002E4C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</w:p>
        </w:tc>
      </w:tr>
      <w:tr w:rsidR="00C44764" w:rsidRPr="00EC4F3B" w14:paraId="35D9A866" w14:textId="77777777" w:rsidTr="002F3E30">
        <w:trPr>
          <w:trHeight w:val="9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209D" w14:textId="77777777" w:rsidR="00C44764" w:rsidRPr="00EC4F3B" w:rsidRDefault="00C44764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F061F" w14:textId="77777777" w:rsidR="00C44764" w:rsidRPr="00EC4F3B" w:rsidRDefault="00C44764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6EFC" w14:textId="77777777" w:rsidR="00F1720A" w:rsidRPr="005D6CE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5D6CE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4C665624" w14:textId="210324AD" w:rsidR="00F1720A" w:rsidRPr="005D6CEB" w:rsidRDefault="0091102B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5D6CEB">
              <w:rPr>
                <w:rFonts w:ascii="Calibri" w:eastAsia="Times New Roman" w:hAnsi="Calibri" w:cs="Calibri"/>
                <w:color w:val="000000"/>
                <w:lang w:val="cs-CZ"/>
              </w:rPr>
              <w:t>Garant projektu</w:t>
            </w:r>
          </w:p>
          <w:p w14:paraId="47C52E2B" w14:textId="77777777" w:rsidR="00C44764" w:rsidRPr="005D6CEB" w:rsidRDefault="00C44764" w:rsidP="00911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7ADF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77ACA8EE" w14:textId="571F30E4" w:rsidR="00C44764" w:rsidRPr="00EC4F3B" w:rsidRDefault="0091102B" w:rsidP="00911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Rozšíření atestačních protokolů o doporučení ve věcech kariérního rozvoje.</w:t>
            </w:r>
          </w:p>
        </w:tc>
      </w:tr>
    </w:tbl>
    <w:p w14:paraId="7C12D93D" w14:textId="056C15CE" w:rsidR="0091102B" w:rsidRPr="00EC4F3B" w:rsidRDefault="0091102B" w:rsidP="00C44764">
      <w:pPr>
        <w:rPr>
          <w:lang w:val="cs-CZ"/>
        </w:rPr>
      </w:pPr>
    </w:p>
    <w:p w14:paraId="190AA67A" w14:textId="77777777" w:rsidR="00C67218" w:rsidRPr="00EC4F3B" w:rsidRDefault="00C67218" w:rsidP="00C44764">
      <w:pPr>
        <w:rPr>
          <w:lang w:val="cs-CZ"/>
        </w:rPr>
      </w:pPr>
    </w:p>
    <w:tbl>
      <w:tblPr>
        <w:tblW w:w="14300" w:type="dxa"/>
        <w:tblInd w:w="-426" w:type="dxa"/>
        <w:tblLook w:val="04A0" w:firstRow="1" w:lastRow="0" w:firstColumn="1" w:lastColumn="0" w:noHBand="0" w:noVBand="1"/>
      </w:tblPr>
      <w:tblGrid>
        <w:gridCol w:w="710"/>
        <w:gridCol w:w="6096"/>
        <w:gridCol w:w="3898"/>
        <w:gridCol w:w="3596"/>
      </w:tblGrid>
      <w:tr w:rsidR="00C44764" w:rsidRPr="00EC4F3B" w14:paraId="5D424022" w14:textId="77777777" w:rsidTr="000B09D2">
        <w:trPr>
          <w:trHeight w:val="2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7113" w14:textId="77777777" w:rsidR="00C44764" w:rsidRPr="00EC4F3B" w:rsidRDefault="00C44764" w:rsidP="002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CB028" w14:textId="0930E95A" w:rsidR="00C44764" w:rsidRPr="00EC4F3B" w:rsidRDefault="000E2590" w:rsidP="001F397F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20)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EC898" w14:textId="77777777" w:rsidR="00C44764" w:rsidRPr="00EC4F3B" w:rsidRDefault="00C44764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255CC" w14:textId="77777777" w:rsidR="00C44764" w:rsidRPr="00EC4F3B" w:rsidRDefault="00C44764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C44764" w:rsidRPr="00EC4F3B" w14:paraId="2E7C9947" w14:textId="77777777" w:rsidTr="000B09D2">
        <w:trPr>
          <w:trHeight w:val="112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34E10" w14:textId="77777777" w:rsidR="00C44764" w:rsidRPr="00EC4F3B" w:rsidRDefault="00C44764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6A25C0E" w14:textId="2CCA6987" w:rsidR="00AB133A" w:rsidRPr="00EC4F3B" w:rsidRDefault="00AB133A" w:rsidP="00AB133A">
            <w:pPr>
              <w:tabs>
                <w:tab w:val="left" w:pos="2752"/>
                <w:tab w:val="left" w:pos="333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Implementace nového software</w:t>
            </w: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ab/>
            </w:r>
          </w:p>
          <w:p w14:paraId="6C3F3456" w14:textId="4FC7AE58" w:rsidR="00AB133A" w:rsidRPr="00EC4F3B" w:rsidRDefault="00AB133A" w:rsidP="00AB133A">
            <w:pPr>
              <w:tabs>
                <w:tab w:val="left" w:pos="2752"/>
                <w:tab w:val="left" w:pos="333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3A783D69" w14:textId="5FB88C4B" w:rsidR="00AB133A" w:rsidRPr="00EC4F3B" w:rsidRDefault="00AB133A" w:rsidP="00AB133A">
            <w:pPr>
              <w:tabs>
                <w:tab w:val="left" w:pos="2752"/>
                <w:tab w:val="left" w:pos="333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Instituce implementuje nový softwarový nástroj, který poskytne strukturu pro zpětnou vazbu a hodnocení výkonu zaměstnanců. Vše bude založeno na dobrovolné bázi.</w:t>
            </w:r>
          </w:p>
          <w:p w14:paraId="45EB0B83" w14:textId="77777777" w:rsidR="00AB133A" w:rsidRPr="00EC4F3B" w:rsidRDefault="00AB133A" w:rsidP="00AB133A">
            <w:pPr>
              <w:tabs>
                <w:tab w:val="left" w:pos="2752"/>
                <w:tab w:val="left" w:pos="333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62DB09FC" w14:textId="77777777" w:rsidR="00C44764" w:rsidRPr="00EC4F3B" w:rsidRDefault="00C44764" w:rsidP="00AB133A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0079" w14:textId="5A9DC7C2" w:rsidR="00C44764" w:rsidRPr="00EC4F3B" w:rsidRDefault="00F172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C44764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7781B896" w14:textId="77777777" w:rsidR="00037D18" w:rsidRPr="00EC4F3B" w:rsidRDefault="00037D18" w:rsidP="00037D18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  <w:r w:rsidRPr="00EC4F3B">
              <w:rPr>
                <w:rFonts w:cstheme="minorHAnsi"/>
                <w:sz w:val="21"/>
                <w:szCs w:val="21"/>
                <w:lang w:val="cs-CZ"/>
              </w:rPr>
              <w:t xml:space="preserve">36. Vztahy s vedoucími pracovníky </w:t>
            </w:r>
            <w:r w:rsidRPr="00EC4F3B">
              <w:rPr>
                <w:bCs/>
                <w:sz w:val="21"/>
                <w:szCs w:val="21"/>
                <w:lang w:val="cs-CZ"/>
              </w:rPr>
              <w:t>(</w:t>
            </w:r>
            <w:r w:rsidRPr="00EC4F3B">
              <w:rPr>
                <w:sz w:val="20"/>
                <w:szCs w:val="20"/>
                <w:lang w:val="cs-CZ"/>
              </w:rPr>
              <w:t>+/-)</w:t>
            </w:r>
          </w:p>
          <w:p w14:paraId="5EF2CE9A" w14:textId="361370B2" w:rsidR="00037D18" w:rsidRPr="00EC4F3B" w:rsidRDefault="00037D18" w:rsidP="00037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cstheme="minorHAnsi"/>
                <w:sz w:val="21"/>
                <w:szCs w:val="21"/>
                <w:lang w:val="cs-CZ"/>
              </w:rPr>
              <w:t xml:space="preserve">40. Vedení (Dohled) </w:t>
            </w:r>
            <w:r w:rsidRPr="00EC4F3B">
              <w:rPr>
                <w:bCs/>
                <w:sz w:val="21"/>
                <w:szCs w:val="21"/>
                <w:lang w:val="cs-CZ"/>
              </w:rPr>
              <w:t>(</w:t>
            </w:r>
            <w:r w:rsidRPr="00EC4F3B">
              <w:rPr>
                <w:sz w:val="20"/>
                <w:szCs w:val="20"/>
                <w:lang w:val="cs-CZ"/>
              </w:rPr>
              <w:t>+/-)</w:t>
            </w:r>
          </w:p>
          <w:p w14:paraId="4B74B112" w14:textId="56B9D615" w:rsidR="00A427CD" w:rsidRPr="00EC4F3B" w:rsidRDefault="00A427CD" w:rsidP="00A427CD">
            <w:pPr>
              <w:spacing w:after="0"/>
              <w:ind w:left="2"/>
              <w:rPr>
                <w:b/>
                <w:bCs/>
                <w:lang w:val="cs-CZ"/>
              </w:rPr>
            </w:pPr>
          </w:p>
          <w:p w14:paraId="5660E6A4" w14:textId="77777777" w:rsidR="00C44764" w:rsidRPr="00EC4F3B" w:rsidRDefault="00C44764" w:rsidP="003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FDE3" w14:textId="06A87E62" w:rsidR="00C44764" w:rsidRPr="00EC4F3B" w:rsidRDefault="0091102B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7C24E546" w14:textId="77777777" w:rsidR="00C44764" w:rsidRPr="00EC4F3B" w:rsidRDefault="00C44764" w:rsidP="002E4C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4Q/2021</w:t>
            </w:r>
          </w:p>
        </w:tc>
      </w:tr>
      <w:tr w:rsidR="00C44764" w:rsidRPr="00EC4F3B" w14:paraId="30567231" w14:textId="77777777" w:rsidTr="000B09D2">
        <w:trPr>
          <w:trHeight w:val="91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1387" w14:textId="77777777" w:rsidR="00C44764" w:rsidRPr="00EC4F3B" w:rsidRDefault="00C44764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720F9" w14:textId="77777777" w:rsidR="00C44764" w:rsidRPr="00EC4F3B" w:rsidRDefault="00C44764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FE79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4BF730B9" w14:textId="0FED491E" w:rsidR="00F1720A" w:rsidRPr="00EC4F3B" w:rsidRDefault="0091102B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Garant projektu</w:t>
            </w:r>
          </w:p>
          <w:p w14:paraId="1D1AC8C3" w14:textId="2CC3CC02" w:rsidR="0091102B" w:rsidRPr="00EC4F3B" w:rsidRDefault="0091102B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Vedoucí laboratoří</w:t>
            </w:r>
          </w:p>
          <w:p w14:paraId="1B1A9F2B" w14:textId="6E7639DF" w:rsidR="00C44764" w:rsidRPr="00EC4F3B" w:rsidRDefault="00C44764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522C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3641D7C4" w14:textId="5175EB14" w:rsidR="00FA11F9" w:rsidRPr="00EC4F3B" w:rsidRDefault="0091102B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SW implementace</w:t>
            </w:r>
          </w:p>
          <w:p w14:paraId="399F5396" w14:textId="77777777" w:rsidR="00C44764" w:rsidRPr="00EC4F3B" w:rsidRDefault="00C44764" w:rsidP="00911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7F678D53" w14:textId="77777777" w:rsidR="00C44764" w:rsidRPr="00EC4F3B" w:rsidRDefault="00C44764" w:rsidP="0028350A">
      <w:pPr>
        <w:rPr>
          <w:lang w:val="cs-CZ"/>
        </w:rPr>
      </w:pPr>
    </w:p>
    <w:p w14:paraId="530BE0E8" w14:textId="77777777" w:rsidR="000B09D2" w:rsidRPr="00EC4F3B" w:rsidRDefault="000B09D2" w:rsidP="00C504CF">
      <w:pPr>
        <w:rPr>
          <w:lang w:val="cs-CZ"/>
        </w:rPr>
      </w:pPr>
    </w:p>
    <w:tbl>
      <w:tblPr>
        <w:tblW w:w="14016" w:type="dxa"/>
        <w:tblInd w:w="-142" w:type="dxa"/>
        <w:tblLook w:val="04A0" w:firstRow="1" w:lastRow="0" w:firstColumn="1" w:lastColumn="0" w:noHBand="0" w:noVBand="1"/>
      </w:tblPr>
      <w:tblGrid>
        <w:gridCol w:w="426"/>
        <w:gridCol w:w="6096"/>
        <w:gridCol w:w="3898"/>
        <w:gridCol w:w="3596"/>
      </w:tblGrid>
      <w:tr w:rsidR="00C504CF" w:rsidRPr="00EC4F3B" w14:paraId="754C4AB9" w14:textId="77777777" w:rsidTr="00B61C2D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F522" w14:textId="77777777" w:rsidR="00C504CF" w:rsidRPr="00EC4F3B" w:rsidRDefault="00C504CF" w:rsidP="00C5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BCC74" w14:textId="3474E043" w:rsidR="00C504CF" w:rsidRPr="00EC4F3B" w:rsidRDefault="000E2590" w:rsidP="000E259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21)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F5356" w14:textId="77777777" w:rsidR="00C504CF" w:rsidRPr="00EC4F3B" w:rsidRDefault="00C504CF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CD1DF" w14:textId="77777777" w:rsidR="00C504CF" w:rsidRPr="00EC4F3B" w:rsidRDefault="00C504CF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C504CF" w:rsidRPr="00EC4F3B" w14:paraId="14B7A425" w14:textId="77777777" w:rsidTr="00B61C2D">
        <w:trPr>
          <w:trHeight w:val="112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B9EEF" w14:textId="77777777" w:rsidR="00C504CF" w:rsidRPr="00EC4F3B" w:rsidRDefault="00C504CF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9D97F80" w14:textId="2E19FA7D" w:rsidR="00AB133A" w:rsidRPr="00EC4F3B" w:rsidRDefault="00AB133A" w:rsidP="00C504CF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Strategie rozvoje lidských zdrojů</w:t>
            </w:r>
          </w:p>
          <w:p w14:paraId="0C234E3C" w14:textId="417D1150" w:rsidR="00AB133A" w:rsidRPr="00EC4F3B" w:rsidRDefault="00AB133A" w:rsidP="00C504CF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760E08C5" w14:textId="312502C8" w:rsidR="00AB133A" w:rsidRPr="00EC4F3B" w:rsidRDefault="00AB133A" w:rsidP="00C504CF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Bude připravena Strategie rozvoje lidských zdrojů. V ní bude v návaznosti na Kodex zdůrazněna hodnota transparentnosti, cel</w:t>
            </w:r>
            <w:r w:rsidR="001B129A" w:rsidRPr="00EC4F3B">
              <w:rPr>
                <w:rFonts w:ascii="Calibri" w:eastAsia="Times New Roman" w:hAnsi="Calibri" w:cs="Calibri"/>
                <w:color w:val="000000"/>
                <w:lang w:val="cs-CZ"/>
              </w:rPr>
              <w:t>istvosti profesních zkušeností i mobility, která je cenným obohacením profesních zkušeností.</w:t>
            </w:r>
          </w:p>
          <w:p w14:paraId="18FBD9F7" w14:textId="73E89137" w:rsidR="00C504CF" w:rsidRPr="00EC4F3B" w:rsidRDefault="00C504CF" w:rsidP="001B129A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992C" w14:textId="65D7E6EF" w:rsidR="00C504CF" w:rsidRPr="00EC4F3B" w:rsidRDefault="00F1720A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C504CF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280821D5" w14:textId="2CCBB63A" w:rsidR="00037D18" w:rsidRPr="00EC4F3B" w:rsidRDefault="00037D18" w:rsidP="00037D18">
            <w:pPr>
              <w:spacing w:after="0" w:line="240" w:lineRule="auto"/>
              <w:rPr>
                <w:rFonts w:cstheme="minorHAnsi"/>
                <w:sz w:val="21"/>
                <w:szCs w:val="21"/>
                <w:lang w:val="cs-CZ"/>
              </w:rPr>
            </w:pPr>
            <w:r w:rsidRPr="00EC4F3B">
              <w:rPr>
                <w:rFonts w:cstheme="minorHAnsi"/>
                <w:sz w:val="21"/>
                <w:szCs w:val="21"/>
                <w:lang w:val="cs-CZ"/>
              </w:rPr>
              <w:t>4. Profesionální přístup (+/-)</w:t>
            </w:r>
          </w:p>
          <w:p w14:paraId="33479C13" w14:textId="55B24B5D" w:rsidR="00037D18" w:rsidRPr="00EC4F3B" w:rsidRDefault="00037D18" w:rsidP="00C504CF">
            <w:pPr>
              <w:spacing w:after="0" w:line="240" w:lineRule="auto"/>
              <w:rPr>
                <w:rFonts w:cstheme="minorHAnsi"/>
                <w:sz w:val="21"/>
                <w:szCs w:val="21"/>
                <w:lang w:val="cs-CZ"/>
              </w:rPr>
            </w:pPr>
            <w:r w:rsidRPr="00EC4F3B">
              <w:rPr>
                <w:rFonts w:cstheme="minorHAnsi"/>
                <w:sz w:val="21"/>
                <w:szCs w:val="21"/>
                <w:lang w:val="cs-CZ"/>
              </w:rPr>
              <w:t>5. Smluvní a legislativní povinnosti (+/-)</w:t>
            </w:r>
          </w:p>
          <w:p w14:paraId="7D970506" w14:textId="780E7146" w:rsidR="00037D18" w:rsidRPr="00EC4F3B" w:rsidRDefault="00037D18" w:rsidP="00037D18">
            <w:pPr>
              <w:spacing w:after="0" w:line="240" w:lineRule="auto"/>
              <w:rPr>
                <w:rFonts w:cstheme="minorHAnsi"/>
                <w:sz w:val="21"/>
                <w:szCs w:val="21"/>
                <w:lang w:val="cs-CZ"/>
              </w:rPr>
            </w:pPr>
            <w:r w:rsidRPr="00EC4F3B">
              <w:rPr>
                <w:rFonts w:cstheme="minorHAnsi"/>
                <w:sz w:val="21"/>
                <w:szCs w:val="21"/>
                <w:lang w:val="cs-CZ"/>
              </w:rPr>
              <w:t>29. Hodnota mobility  (+/-)</w:t>
            </w:r>
          </w:p>
          <w:p w14:paraId="467393B7" w14:textId="77777777" w:rsidR="00C504CF" w:rsidRPr="00EC4F3B" w:rsidRDefault="00C504CF" w:rsidP="00037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A3CD" w14:textId="57DD9F5B" w:rsidR="00C504CF" w:rsidRPr="00EC4F3B" w:rsidRDefault="0091102B" w:rsidP="00C50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42F6E4E3" w14:textId="77777777" w:rsidR="00C504CF" w:rsidRPr="00EC4F3B" w:rsidRDefault="00C504CF" w:rsidP="00C504C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1Q/2022</w:t>
            </w:r>
          </w:p>
        </w:tc>
      </w:tr>
      <w:tr w:rsidR="00C504CF" w:rsidRPr="00EC4F3B" w14:paraId="6D2A6FD5" w14:textId="77777777" w:rsidTr="00B61C2D">
        <w:trPr>
          <w:trHeight w:val="91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E473" w14:textId="77777777" w:rsidR="00C504CF" w:rsidRPr="00EC4F3B" w:rsidRDefault="00C504CF" w:rsidP="00C50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8F4C7" w14:textId="77777777" w:rsidR="00C504CF" w:rsidRPr="00EC4F3B" w:rsidRDefault="00C504CF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8E78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71C091F6" w14:textId="10FA5B5A" w:rsidR="00F1720A" w:rsidRPr="00EC4F3B" w:rsidRDefault="0091102B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6F8F3BC2" w14:textId="127762CE" w:rsidR="0091102B" w:rsidRPr="00EC4F3B" w:rsidRDefault="0091102B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Projektový tým</w:t>
            </w:r>
          </w:p>
          <w:p w14:paraId="7DE1EA0B" w14:textId="091640FF" w:rsidR="00C504CF" w:rsidRPr="00EC4F3B" w:rsidRDefault="00C504CF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A2BF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0BAE513F" w14:textId="1F486602" w:rsidR="00FA11F9" w:rsidRPr="00EC4F3B" w:rsidRDefault="0091102B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Existence Strategie rozvoje lidských zdrojů</w:t>
            </w:r>
          </w:p>
          <w:p w14:paraId="54020945" w14:textId="377E1D44" w:rsidR="00C504CF" w:rsidRPr="00EC4F3B" w:rsidRDefault="00C504CF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1011416F" w14:textId="77777777" w:rsidR="00C504CF" w:rsidRPr="00EC4F3B" w:rsidRDefault="00C504CF" w:rsidP="00C504CF">
      <w:pPr>
        <w:rPr>
          <w:lang w:val="cs-CZ"/>
        </w:rPr>
      </w:pPr>
    </w:p>
    <w:p w14:paraId="3CEE95B7" w14:textId="6889481E" w:rsidR="001B129A" w:rsidRPr="00EC4F3B" w:rsidRDefault="001B129A" w:rsidP="00C504CF">
      <w:pPr>
        <w:rPr>
          <w:lang w:val="cs-CZ"/>
        </w:rPr>
      </w:pPr>
    </w:p>
    <w:p w14:paraId="07B27391" w14:textId="77777777" w:rsidR="000E2590" w:rsidRPr="00EC4F3B" w:rsidRDefault="000E2590" w:rsidP="00C504CF">
      <w:pPr>
        <w:rPr>
          <w:lang w:val="cs-CZ"/>
        </w:rPr>
      </w:pPr>
    </w:p>
    <w:tbl>
      <w:tblPr>
        <w:tblW w:w="13874" w:type="dxa"/>
        <w:tblLook w:val="04A0" w:firstRow="1" w:lastRow="0" w:firstColumn="1" w:lastColumn="0" w:noHBand="0" w:noVBand="1"/>
      </w:tblPr>
      <w:tblGrid>
        <w:gridCol w:w="506"/>
        <w:gridCol w:w="5874"/>
        <w:gridCol w:w="3898"/>
        <w:gridCol w:w="3596"/>
      </w:tblGrid>
      <w:tr w:rsidR="00C504CF" w:rsidRPr="00EC4F3B" w14:paraId="2C777BD4" w14:textId="77777777" w:rsidTr="002E4CEE">
        <w:trPr>
          <w:trHeight w:val="28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4894" w14:textId="77777777" w:rsidR="00C504CF" w:rsidRPr="00EC4F3B" w:rsidRDefault="00C504CF" w:rsidP="002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12E1C" w14:textId="02CC3785" w:rsidR="00C504CF" w:rsidRPr="00EC4F3B" w:rsidRDefault="000E2590" w:rsidP="000E259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22)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2AD12" w14:textId="77777777" w:rsidR="00C504CF" w:rsidRPr="00EC4F3B" w:rsidRDefault="00C504CF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652E9" w14:textId="77777777" w:rsidR="00C504CF" w:rsidRPr="00EC4F3B" w:rsidRDefault="00C504CF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C504CF" w:rsidRPr="00EC4F3B" w14:paraId="33799E16" w14:textId="77777777" w:rsidTr="002E4CEE">
        <w:trPr>
          <w:trHeight w:val="1121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63CEB" w14:textId="77777777" w:rsidR="00C504CF" w:rsidRPr="00EC4F3B" w:rsidRDefault="00C504CF" w:rsidP="00C50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6CC24FC" w14:textId="598091D7" w:rsidR="001B129A" w:rsidRPr="00EC4F3B" w:rsidRDefault="001B129A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Školení problematiky duševního vlastnictví</w:t>
            </w:r>
          </w:p>
          <w:p w14:paraId="0AAAC060" w14:textId="268046D4" w:rsidR="001B129A" w:rsidRPr="00EC4F3B" w:rsidRDefault="001B129A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38DB6F9E" w14:textId="0B0144BD" w:rsidR="001B129A" w:rsidRPr="00EC4F3B" w:rsidRDefault="001B129A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V rámci</w:t>
            </w: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 xml:space="preserve"> </w:t>
            </w: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HR AWARD bude na pracovišti zorganizováno školen</w:t>
            </w:r>
            <w:r w:rsidR="00EA1605" w:rsidRPr="00EC4F3B">
              <w:rPr>
                <w:rFonts w:ascii="Calibri" w:eastAsia="Times New Roman" w:hAnsi="Calibri" w:cs="Calibri"/>
                <w:color w:val="000000"/>
                <w:lang w:val="cs-CZ"/>
              </w:rPr>
              <w:t>í na téma duševního vlastnictví financované z grantu MŠMT.</w:t>
            </w:r>
            <w:r w:rsidR="00F85611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Materiály ze školení budou poskytovány nově nastupujícím vědeckým pracovníkům v rámci jejich  adaptačního programu.</w:t>
            </w:r>
          </w:p>
          <w:p w14:paraId="56D3882A" w14:textId="77777777" w:rsidR="001B129A" w:rsidRPr="00EC4F3B" w:rsidRDefault="001B129A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43520B21" w14:textId="2D1147EE" w:rsidR="00C504CF" w:rsidRPr="00EC4F3B" w:rsidRDefault="00D549CD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B9F8" w14:textId="7D8008EC" w:rsidR="00C504CF" w:rsidRPr="00EC4F3B" w:rsidRDefault="00F172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C504CF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6985BB87" w14:textId="0981E3FB" w:rsidR="00037D18" w:rsidRPr="00EC4F3B" w:rsidRDefault="00037D18" w:rsidP="00037D18">
            <w:pPr>
              <w:spacing w:after="0" w:line="240" w:lineRule="auto"/>
              <w:rPr>
                <w:rFonts w:cstheme="minorHAnsi"/>
                <w:sz w:val="21"/>
                <w:szCs w:val="21"/>
                <w:lang w:val="cs-CZ"/>
              </w:rPr>
            </w:pPr>
            <w:r w:rsidRPr="00EC4F3B">
              <w:rPr>
                <w:rFonts w:cstheme="minorHAnsi"/>
                <w:sz w:val="21"/>
                <w:szCs w:val="21"/>
                <w:lang w:val="cs-CZ"/>
              </w:rPr>
              <w:t>31. Práva duševního vlastnictví  (+/-)</w:t>
            </w:r>
          </w:p>
          <w:p w14:paraId="7FC43FED" w14:textId="48572570" w:rsidR="00C504CF" w:rsidRPr="00EC4F3B" w:rsidRDefault="00C504CF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26D5541F" w14:textId="77777777" w:rsidR="00C504CF" w:rsidRPr="00EC4F3B" w:rsidRDefault="00C504CF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E7D3" w14:textId="7CC15BF4" w:rsidR="00C504CF" w:rsidRPr="00EC4F3B" w:rsidRDefault="009F42EE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2DB27D31" w14:textId="77777777" w:rsidR="00C504CF" w:rsidRPr="00EC4F3B" w:rsidRDefault="00C504CF" w:rsidP="002E4C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3Q/2022</w:t>
            </w:r>
          </w:p>
        </w:tc>
      </w:tr>
      <w:tr w:rsidR="00C504CF" w:rsidRPr="00EC4F3B" w14:paraId="3F496BCD" w14:textId="77777777" w:rsidTr="002E4CEE">
        <w:trPr>
          <w:trHeight w:val="91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914D" w14:textId="77777777" w:rsidR="00C504CF" w:rsidRPr="00EC4F3B" w:rsidRDefault="00C504CF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D129C" w14:textId="77777777" w:rsidR="00C504CF" w:rsidRPr="00EC4F3B" w:rsidRDefault="00C504CF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B4E3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3DD985B1" w14:textId="1DFA7F0D" w:rsidR="00F1720A" w:rsidRPr="00EC4F3B" w:rsidRDefault="009F42E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2DE8CD79" w14:textId="36D66AEB" w:rsidR="009F42EE" w:rsidRPr="00EC4F3B" w:rsidRDefault="009F42E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Projektový tým</w:t>
            </w:r>
          </w:p>
          <w:p w14:paraId="145E5446" w14:textId="39D650B2" w:rsidR="00C504CF" w:rsidRPr="00EC4F3B" w:rsidRDefault="00C504CF" w:rsidP="009F4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6975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01F24E88" w14:textId="04356E92" w:rsidR="00FA11F9" w:rsidRPr="00EC4F3B" w:rsidRDefault="009F42E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Formalizovaná zpětná vazba ze školení</w:t>
            </w:r>
          </w:p>
          <w:p w14:paraId="10DF953C" w14:textId="3F380010" w:rsidR="009F42EE" w:rsidRPr="00EC4F3B" w:rsidRDefault="009F42E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Prezenční listiny</w:t>
            </w:r>
          </w:p>
          <w:p w14:paraId="62673B87" w14:textId="3CE7D684" w:rsidR="009F42EE" w:rsidRPr="00EC4F3B" w:rsidRDefault="009F42E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Skripta</w:t>
            </w:r>
          </w:p>
          <w:p w14:paraId="79835B10" w14:textId="77777777" w:rsidR="00C504CF" w:rsidRPr="00EC4F3B" w:rsidRDefault="00C504CF" w:rsidP="009F4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67C71A0B" w14:textId="5B6A41BB" w:rsidR="00D549CD" w:rsidRPr="00EC4F3B" w:rsidRDefault="00D549CD" w:rsidP="00C504CF">
      <w:pPr>
        <w:rPr>
          <w:lang w:val="cs-CZ"/>
        </w:rPr>
      </w:pPr>
    </w:p>
    <w:tbl>
      <w:tblPr>
        <w:tblW w:w="13874" w:type="dxa"/>
        <w:tblLook w:val="04A0" w:firstRow="1" w:lastRow="0" w:firstColumn="1" w:lastColumn="0" w:noHBand="0" w:noVBand="1"/>
      </w:tblPr>
      <w:tblGrid>
        <w:gridCol w:w="506"/>
        <w:gridCol w:w="5874"/>
        <w:gridCol w:w="3898"/>
        <w:gridCol w:w="3596"/>
      </w:tblGrid>
      <w:tr w:rsidR="00C504CF" w:rsidRPr="00EC4F3B" w14:paraId="5B26FEC7" w14:textId="77777777" w:rsidTr="002E4CEE">
        <w:trPr>
          <w:trHeight w:val="28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143A" w14:textId="77777777" w:rsidR="00C504CF" w:rsidRPr="00EC4F3B" w:rsidRDefault="00C504CF" w:rsidP="002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7D50D" w14:textId="6F7AA03C" w:rsidR="00C504CF" w:rsidRPr="00EC4F3B" w:rsidRDefault="000E2590" w:rsidP="000E259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23)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547B7" w14:textId="77777777" w:rsidR="00C504CF" w:rsidRPr="00EC4F3B" w:rsidRDefault="00C504CF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CF1DA" w14:textId="77777777" w:rsidR="00C504CF" w:rsidRPr="00EC4F3B" w:rsidRDefault="00C504CF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C504CF" w:rsidRPr="00EC4F3B" w14:paraId="793C7065" w14:textId="77777777" w:rsidTr="002E4CEE">
        <w:trPr>
          <w:trHeight w:val="1121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8F62F" w14:textId="77777777" w:rsidR="00C504CF" w:rsidRPr="00EC4F3B" w:rsidRDefault="00C504CF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57F18CD" w14:textId="3D18D443" w:rsidR="00C67218" w:rsidRPr="00EC4F3B" w:rsidRDefault="00F85611" w:rsidP="002E4CEE">
            <w:pPr>
              <w:spacing w:after="0" w:line="240" w:lineRule="auto"/>
              <w:jc w:val="both"/>
              <w:rPr>
                <w:b/>
                <w:lang w:val="cs-CZ"/>
              </w:rPr>
            </w:pPr>
            <w:r w:rsidRPr="00EC4F3B">
              <w:rPr>
                <w:b/>
                <w:lang w:val="cs-CZ"/>
              </w:rPr>
              <w:t>Seznam školitelů a supervizorů</w:t>
            </w:r>
          </w:p>
          <w:p w14:paraId="026282C9" w14:textId="0E3E41EC" w:rsidR="00F85611" w:rsidRPr="00EC4F3B" w:rsidRDefault="00F85611" w:rsidP="002E4CEE">
            <w:pPr>
              <w:spacing w:after="0" w:line="240" w:lineRule="auto"/>
              <w:jc w:val="both"/>
              <w:rPr>
                <w:b/>
                <w:lang w:val="cs-CZ"/>
              </w:rPr>
            </w:pPr>
          </w:p>
          <w:p w14:paraId="57D129D2" w14:textId="60075AB7" w:rsidR="00F85611" w:rsidRPr="00EC4F3B" w:rsidRDefault="00F85611" w:rsidP="002E4CEE">
            <w:pPr>
              <w:spacing w:after="0" w:line="240" w:lineRule="auto"/>
              <w:jc w:val="both"/>
              <w:rPr>
                <w:b/>
                <w:lang w:val="cs-CZ"/>
              </w:rPr>
            </w:pPr>
            <w:r w:rsidRPr="00EC4F3B">
              <w:rPr>
                <w:lang w:val="cs-CZ"/>
              </w:rPr>
              <w:t>Na intranetu bude k dispozici seznam školitelů a jejich student</w:t>
            </w:r>
            <w:r w:rsidR="00C8593C" w:rsidRPr="00EC4F3B">
              <w:rPr>
                <w:lang w:val="cs-CZ"/>
              </w:rPr>
              <w:t>ů</w:t>
            </w:r>
            <w:r w:rsidRPr="00EC4F3B">
              <w:rPr>
                <w:lang w:val="cs-CZ"/>
              </w:rPr>
              <w:t>. Postdoktoran</w:t>
            </w:r>
            <w:r w:rsidR="00E22772">
              <w:rPr>
                <w:lang w:val="cs-CZ"/>
              </w:rPr>
              <w:t>d</w:t>
            </w:r>
            <w:r w:rsidRPr="00EC4F3B">
              <w:rPr>
                <w:lang w:val="cs-CZ"/>
              </w:rPr>
              <w:t xml:space="preserve">ům bude oficiálně určen seniorní vědecký pracovník, na kterého se budou moci obracet </w:t>
            </w:r>
            <w:r w:rsidR="008B4392" w:rsidRPr="00EC4F3B">
              <w:rPr>
                <w:lang w:val="cs-CZ"/>
              </w:rPr>
              <w:t>v otázkách svého vědeckého rozvoje.</w:t>
            </w:r>
            <w:r w:rsidR="008B4392" w:rsidRPr="00EC4F3B">
              <w:rPr>
                <w:b/>
                <w:lang w:val="cs-CZ"/>
              </w:rPr>
              <w:t xml:space="preserve"> </w:t>
            </w:r>
          </w:p>
          <w:p w14:paraId="51AD90AD" w14:textId="77777777" w:rsidR="00C504CF" w:rsidRPr="00EC4F3B" w:rsidRDefault="00C504CF" w:rsidP="008B43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2FDE" w14:textId="1B2F2743" w:rsidR="00C504CF" w:rsidRPr="00EC4F3B" w:rsidRDefault="00F172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C504CF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48696174" w14:textId="65B7209E" w:rsidR="00037D18" w:rsidRPr="00EC4F3B" w:rsidRDefault="00037D18" w:rsidP="00815380">
            <w:pPr>
              <w:spacing w:after="0" w:line="240" w:lineRule="auto"/>
              <w:rPr>
                <w:rFonts w:cstheme="minorHAnsi"/>
                <w:sz w:val="21"/>
                <w:szCs w:val="21"/>
                <w:lang w:val="cs-CZ"/>
              </w:rPr>
            </w:pPr>
            <w:r w:rsidRPr="00EC4F3B">
              <w:rPr>
                <w:rFonts w:cstheme="minorHAnsi"/>
                <w:sz w:val="21"/>
                <w:szCs w:val="21"/>
                <w:lang w:val="cs-CZ"/>
              </w:rPr>
              <w:t>21. Jmenování postdoktorandů (Kodex)</w:t>
            </w:r>
            <w:r w:rsidR="00815380" w:rsidRPr="00EC4F3B">
              <w:rPr>
                <w:rFonts w:cstheme="minorHAnsi"/>
                <w:sz w:val="21"/>
                <w:szCs w:val="21"/>
                <w:lang w:val="cs-CZ"/>
              </w:rPr>
              <w:t xml:space="preserve"> (+/-)</w:t>
            </w:r>
          </w:p>
          <w:p w14:paraId="3B437925" w14:textId="66F79FC3" w:rsidR="00037D18" w:rsidRPr="00EC4F3B" w:rsidRDefault="00815380" w:rsidP="002E4CEE">
            <w:pPr>
              <w:spacing w:after="0" w:line="240" w:lineRule="auto"/>
              <w:rPr>
                <w:rFonts w:cstheme="minorHAnsi"/>
                <w:sz w:val="21"/>
                <w:szCs w:val="21"/>
                <w:lang w:val="cs-CZ"/>
              </w:rPr>
            </w:pPr>
            <w:r w:rsidRPr="00EC4F3B">
              <w:rPr>
                <w:rFonts w:cstheme="minorHAnsi"/>
                <w:sz w:val="21"/>
                <w:szCs w:val="21"/>
                <w:lang w:val="cs-CZ"/>
              </w:rPr>
              <w:t>36. Vztahy s vedoucími pracovníky  (+/-)</w:t>
            </w:r>
          </w:p>
          <w:p w14:paraId="457A620A" w14:textId="60C3C036" w:rsidR="00815380" w:rsidRPr="00EC4F3B" w:rsidRDefault="00815380" w:rsidP="00815380">
            <w:pPr>
              <w:spacing w:after="0" w:line="240" w:lineRule="auto"/>
              <w:rPr>
                <w:rFonts w:cstheme="minorHAnsi"/>
                <w:sz w:val="21"/>
                <w:szCs w:val="21"/>
                <w:lang w:val="cs-CZ"/>
              </w:rPr>
            </w:pPr>
            <w:r w:rsidRPr="00EC4F3B">
              <w:rPr>
                <w:rFonts w:cstheme="minorHAnsi"/>
                <w:sz w:val="21"/>
                <w:szCs w:val="21"/>
                <w:lang w:val="cs-CZ"/>
              </w:rPr>
              <w:t>40. Vedení (Dohled) (+/-)</w:t>
            </w:r>
          </w:p>
          <w:p w14:paraId="12954854" w14:textId="77777777" w:rsidR="00C504CF" w:rsidRPr="00EC4F3B" w:rsidRDefault="00C504CF" w:rsidP="00C67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713F" w14:textId="328D7F35" w:rsidR="00C504CF" w:rsidRPr="00EC4F3B" w:rsidRDefault="009F42EE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69D6E4DE" w14:textId="74170BBC" w:rsidR="002045F8" w:rsidRPr="00EC4F3B" w:rsidRDefault="00C504CF" w:rsidP="0020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lang w:val="cs-CZ"/>
              </w:rPr>
              <w:t>3Q/2021</w:t>
            </w:r>
            <w:r w:rsidR="00326F50" w:rsidRPr="00EC4F3B">
              <w:rPr>
                <w:rFonts w:ascii="Calibri" w:eastAsia="Times New Roman" w:hAnsi="Calibri" w:cs="Calibri"/>
                <w:lang w:val="cs-CZ"/>
              </w:rPr>
              <w:t>,</w:t>
            </w:r>
            <w:r w:rsidR="002045F8" w:rsidRPr="00EC4F3B">
              <w:rPr>
                <w:rFonts w:ascii="Calibri" w:eastAsia="Times New Roman" w:hAnsi="Calibri" w:cs="Calibri"/>
                <w:lang w:val="cs-CZ"/>
              </w:rPr>
              <w:t xml:space="preserve"> začátek, časově neohraničeno</w:t>
            </w:r>
          </w:p>
          <w:p w14:paraId="3979303D" w14:textId="59322B1C" w:rsidR="00C504CF" w:rsidRPr="00EC4F3B" w:rsidRDefault="00326F50" w:rsidP="009F42EE">
            <w:pPr>
              <w:rPr>
                <w:rFonts w:ascii="Calibri" w:eastAsia="Times New Roman" w:hAnsi="Calibri" w:cs="Calibri"/>
                <w:lang w:val="cs-CZ"/>
              </w:rPr>
            </w:pPr>
            <w:r w:rsidRPr="00EC4F3B">
              <w:rPr>
                <w:rFonts w:ascii="Calibri" w:eastAsia="Times New Roman" w:hAnsi="Calibri" w:cs="Calibri"/>
                <w:lang w:val="cs-CZ"/>
              </w:rPr>
              <w:t xml:space="preserve"> </w:t>
            </w:r>
          </w:p>
        </w:tc>
      </w:tr>
      <w:tr w:rsidR="00C504CF" w:rsidRPr="00EC4F3B" w14:paraId="24F650EB" w14:textId="77777777" w:rsidTr="002E4CEE">
        <w:trPr>
          <w:trHeight w:val="91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C389" w14:textId="77777777" w:rsidR="00C504CF" w:rsidRPr="00EC4F3B" w:rsidRDefault="00C504CF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A2785" w14:textId="77777777" w:rsidR="00C504CF" w:rsidRPr="00EC4F3B" w:rsidRDefault="00C504CF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7B71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401C91EA" w14:textId="3485D34D" w:rsidR="009F42EE" w:rsidRPr="00EC4F3B" w:rsidRDefault="009F42E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0D0807AB" w14:textId="1E44F262" w:rsidR="009F42EE" w:rsidRPr="00EC4F3B" w:rsidRDefault="009F42E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Projektový tým</w:t>
            </w:r>
          </w:p>
          <w:p w14:paraId="0E832D95" w14:textId="027BC906" w:rsidR="00C504CF" w:rsidRPr="00EC4F3B" w:rsidRDefault="009F42E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IT tým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6689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7F488D65" w14:textId="582E8531" w:rsidR="00FA11F9" w:rsidRPr="00EC4F3B" w:rsidRDefault="009F42E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Seznam bude k dispozici na intranetu</w:t>
            </w:r>
          </w:p>
          <w:p w14:paraId="7A302B34" w14:textId="1511BC88" w:rsidR="00C504CF" w:rsidRPr="00EC4F3B" w:rsidRDefault="009F42E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a pravidelně aktualizován</w:t>
            </w:r>
          </w:p>
        </w:tc>
      </w:tr>
    </w:tbl>
    <w:p w14:paraId="1D6163BC" w14:textId="0859B3F8" w:rsidR="00D815D8" w:rsidRPr="00EC4F3B" w:rsidRDefault="00D815D8" w:rsidP="00C44764">
      <w:pPr>
        <w:rPr>
          <w:lang w:val="cs-CZ"/>
        </w:rPr>
      </w:pPr>
    </w:p>
    <w:p w14:paraId="61C497E8" w14:textId="77777777" w:rsidR="00D815D8" w:rsidRPr="00EC4F3B" w:rsidRDefault="00D815D8" w:rsidP="00C44764">
      <w:pPr>
        <w:rPr>
          <w:lang w:val="cs-CZ"/>
        </w:rPr>
      </w:pPr>
    </w:p>
    <w:tbl>
      <w:tblPr>
        <w:tblW w:w="13874" w:type="dxa"/>
        <w:tblLook w:val="04A0" w:firstRow="1" w:lastRow="0" w:firstColumn="1" w:lastColumn="0" w:noHBand="0" w:noVBand="1"/>
      </w:tblPr>
      <w:tblGrid>
        <w:gridCol w:w="506"/>
        <w:gridCol w:w="5874"/>
        <w:gridCol w:w="3898"/>
        <w:gridCol w:w="3596"/>
      </w:tblGrid>
      <w:tr w:rsidR="00C44764" w:rsidRPr="00EC4F3B" w14:paraId="4766135E" w14:textId="77777777" w:rsidTr="002E4CEE">
        <w:trPr>
          <w:trHeight w:val="28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3D5" w14:textId="77777777" w:rsidR="00C44764" w:rsidRPr="00EC4F3B" w:rsidRDefault="00C44764" w:rsidP="00C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23883" w14:textId="4E622379" w:rsidR="00C44764" w:rsidRPr="00EC4F3B" w:rsidRDefault="000E2590" w:rsidP="000E259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24)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ED407" w14:textId="77777777" w:rsidR="00C44764" w:rsidRPr="00EC4F3B" w:rsidRDefault="00C44764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8F398" w14:textId="77777777" w:rsidR="00C44764" w:rsidRPr="00EC4F3B" w:rsidRDefault="00C44764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C44764" w:rsidRPr="00EC4F3B" w14:paraId="78725EC0" w14:textId="77777777" w:rsidTr="002E4CEE">
        <w:trPr>
          <w:trHeight w:val="1121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1CE72" w14:textId="77777777" w:rsidR="00C44764" w:rsidRPr="00EC4F3B" w:rsidRDefault="00C44764" w:rsidP="00C44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166FAFC" w14:textId="1704E67D" w:rsidR="0035659C" w:rsidRPr="00EC4F3B" w:rsidRDefault="008B4392" w:rsidP="00C44764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Směrnice pro vzdělávání + zabezpečení zpětné vazby ze vzdělávacích aktivit</w:t>
            </w:r>
          </w:p>
          <w:p w14:paraId="320B04C1" w14:textId="77777777" w:rsidR="00E6522C" w:rsidRPr="00EC4F3B" w:rsidRDefault="00E6522C" w:rsidP="00C44764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4EF69CD4" w14:textId="04998E20" w:rsidR="008B4392" w:rsidRPr="00EC4F3B" w:rsidRDefault="008B4392" w:rsidP="00C44764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V rámci HR AWARD bude sepsána směrnice upravující proces vzdělávání v instituci. Směrnice především zabezpečí, že všichni účastníci vzdělávání organizovaného v rámci HR</w:t>
            </w:r>
            <w:r w:rsidR="00E6522C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AWARD poskytnou zpětnou vazbu ve standardizovaném formátu.</w:t>
            </w:r>
          </w:p>
          <w:p w14:paraId="11EE0BD0" w14:textId="688312E4" w:rsidR="00E6522C" w:rsidRPr="00EC4F3B" w:rsidRDefault="00E6522C" w:rsidP="00C44764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Dále budou zprávy o služebních cestách rozšířeny o povinné zhodnocení přínosu konferencí a dalších vzdělávacích aktivit z pohledu přínosu pro další profesní rozvoj.</w:t>
            </w:r>
          </w:p>
          <w:p w14:paraId="56B75F6D" w14:textId="6E979686" w:rsidR="00C44764" w:rsidRPr="00EC4F3B" w:rsidRDefault="00C44764" w:rsidP="00C44764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B62F" w14:textId="6DF83DE4" w:rsidR="00C44764" w:rsidRPr="00EC4F3B" w:rsidRDefault="00F1720A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C44764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7F10D49E" w14:textId="1729CDA6" w:rsidR="00815380" w:rsidRPr="00EC4F3B" w:rsidRDefault="00815380" w:rsidP="00815380">
            <w:pPr>
              <w:spacing w:after="0" w:line="235" w:lineRule="auto"/>
              <w:rPr>
                <w:bCs/>
                <w:sz w:val="21"/>
                <w:szCs w:val="21"/>
                <w:lang w:val="cs-CZ"/>
              </w:rPr>
            </w:pPr>
            <w:r w:rsidRPr="00EC4F3B">
              <w:rPr>
                <w:bCs/>
                <w:sz w:val="21"/>
                <w:szCs w:val="21"/>
                <w:lang w:val="cs-CZ"/>
              </w:rPr>
              <w:t>28. Profesí rozvoj  (+/-)</w:t>
            </w:r>
          </w:p>
          <w:p w14:paraId="1699480F" w14:textId="456CA664" w:rsidR="00815380" w:rsidRPr="00EC4F3B" w:rsidRDefault="00815380" w:rsidP="00815380">
            <w:pPr>
              <w:spacing w:after="0" w:line="235" w:lineRule="auto"/>
              <w:ind w:left="2"/>
              <w:rPr>
                <w:bCs/>
                <w:sz w:val="21"/>
                <w:szCs w:val="21"/>
                <w:lang w:val="cs-CZ"/>
              </w:rPr>
            </w:pPr>
            <w:r w:rsidRPr="00EC4F3B">
              <w:rPr>
                <w:bCs/>
                <w:sz w:val="21"/>
                <w:szCs w:val="21"/>
                <w:lang w:val="cs-CZ"/>
              </w:rPr>
              <w:t>39. Přístup ke vzdělávání a nepřetržitému rozvoji výzkumných pracovníků (+/-)</w:t>
            </w:r>
          </w:p>
          <w:p w14:paraId="7900D79F" w14:textId="305CF76F" w:rsidR="00815380" w:rsidRPr="00EC4F3B" w:rsidRDefault="00815380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762F1C95" w14:textId="1866DFD1" w:rsidR="00C44764" w:rsidRPr="00EC4F3B" w:rsidRDefault="00C44764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08687805" w14:textId="77777777" w:rsidR="00C44764" w:rsidRPr="00EC4F3B" w:rsidRDefault="00C44764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FCE8" w14:textId="4E6A519F" w:rsidR="00C44764" w:rsidRPr="00EC4F3B" w:rsidRDefault="009F42EE" w:rsidP="00C4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2E8326C0" w14:textId="77777777" w:rsidR="00C44764" w:rsidRPr="00EC4F3B" w:rsidRDefault="0035659C" w:rsidP="00C447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2</w:t>
            </w:r>
            <w:r w:rsidR="00C44764"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Q/2021</w:t>
            </w:r>
          </w:p>
        </w:tc>
      </w:tr>
      <w:tr w:rsidR="00C44764" w:rsidRPr="00EC4F3B" w14:paraId="3F701084" w14:textId="77777777" w:rsidTr="002E4CEE">
        <w:trPr>
          <w:trHeight w:val="91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E522" w14:textId="77777777" w:rsidR="00C44764" w:rsidRPr="00EC4F3B" w:rsidRDefault="00C44764" w:rsidP="00C4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82D15" w14:textId="77777777" w:rsidR="00C44764" w:rsidRPr="00EC4F3B" w:rsidRDefault="00C44764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F045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6B2F3465" w14:textId="02714624" w:rsidR="00F1720A" w:rsidRPr="00EC4F3B" w:rsidRDefault="009F42EE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Personální úsek </w:t>
            </w:r>
          </w:p>
          <w:p w14:paraId="05D0F4EB" w14:textId="4E9C89A0" w:rsidR="00C44764" w:rsidRPr="00EC4F3B" w:rsidRDefault="00C44764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D5C1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38B99AD4" w14:textId="6D23E321" w:rsidR="009F42EE" w:rsidRPr="00EC4F3B" w:rsidRDefault="009F42EE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Směrnice o vzdělávání v platnosti. Hlášení o služebních cestách budou rozšířena o zhodnocení přínosu z konferencí a dalších školení.</w:t>
            </w:r>
          </w:p>
          <w:p w14:paraId="486AACB2" w14:textId="473D2499" w:rsidR="00C44764" w:rsidRPr="00EC4F3B" w:rsidRDefault="00C44764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48F92158" w14:textId="75E67AFB" w:rsidR="00BE49EB" w:rsidRPr="00EC4F3B" w:rsidRDefault="00BE49EB" w:rsidP="00D16F76">
      <w:pPr>
        <w:rPr>
          <w:lang w:val="cs-CZ"/>
        </w:rPr>
      </w:pPr>
    </w:p>
    <w:p w14:paraId="2608ED4A" w14:textId="3F83FE55" w:rsidR="009F42EE" w:rsidRPr="00EC4F3B" w:rsidRDefault="009F42EE" w:rsidP="00D16F76">
      <w:pPr>
        <w:rPr>
          <w:lang w:val="cs-CZ"/>
        </w:rPr>
      </w:pPr>
    </w:p>
    <w:p w14:paraId="45C0E389" w14:textId="13E5E4C0" w:rsidR="009F42EE" w:rsidRPr="00EC4F3B" w:rsidRDefault="009F42EE" w:rsidP="00D16F76">
      <w:pPr>
        <w:rPr>
          <w:lang w:val="cs-CZ"/>
        </w:rPr>
      </w:pPr>
    </w:p>
    <w:p w14:paraId="75855564" w14:textId="14CD6047" w:rsidR="009F42EE" w:rsidRPr="00EC4F3B" w:rsidRDefault="009F42EE" w:rsidP="00D16F76">
      <w:pPr>
        <w:rPr>
          <w:lang w:val="cs-CZ"/>
        </w:rPr>
      </w:pPr>
    </w:p>
    <w:p w14:paraId="25F33DDD" w14:textId="7F99185B" w:rsidR="009F42EE" w:rsidRPr="00EC4F3B" w:rsidRDefault="009F42EE" w:rsidP="00D16F76">
      <w:pPr>
        <w:rPr>
          <w:lang w:val="cs-CZ"/>
        </w:rPr>
      </w:pPr>
    </w:p>
    <w:p w14:paraId="2F48496E" w14:textId="77777777" w:rsidR="009F42EE" w:rsidRPr="00EC4F3B" w:rsidRDefault="009F42EE" w:rsidP="00D16F76">
      <w:pPr>
        <w:rPr>
          <w:lang w:val="cs-CZ"/>
        </w:rPr>
      </w:pPr>
    </w:p>
    <w:p w14:paraId="1A63A60A" w14:textId="77777777" w:rsidR="00D16F76" w:rsidRPr="00EC4F3B" w:rsidRDefault="00D16F76" w:rsidP="00D16F76">
      <w:pPr>
        <w:rPr>
          <w:lang w:val="cs-CZ"/>
        </w:rPr>
      </w:pPr>
    </w:p>
    <w:tbl>
      <w:tblPr>
        <w:tblW w:w="13874" w:type="dxa"/>
        <w:tblLook w:val="04A0" w:firstRow="1" w:lastRow="0" w:firstColumn="1" w:lastColumn="0" w:noHBand="0" w:noVBand="1"/>
      </w:tblPr>
      <w:tblGrid>
        <w:gridCol w:w="506"/>
        <w:gridCol w:w="5874"/>
        <w:gridCol w:w="3898"/>
        <w:gridCol w:w="3596"/>
      </w:tblGrid>
      <w:tr w:rsidR="00D16F76" w:rsidRPr="00EC4F3B" w14:paraId="0D9475A4" w14:textId="77777777" w:rsidTr="002E4CEE">
        <w:trPr>
          <w:trHeight w:val="28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9303" w14:textId="77777777" w:rsidR="00D16F76" w:rsidRPr="00EC4F3B" w:rsidRDefault="00D16F76" w:rsidP="002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5E1F0" w14:textId="25F7A550" w:rsidR="00D16F76" w:rsidRPr="00EC4F3B" w:rsidRDefault="000E2590" w:rsidP="001F397F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25)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973CD" w14:textId="77777777" w:rsidR="00D16F76" w:rsidRPr="00EC4F3B" w:rsidRDefault="00D16F76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617A" w14:textId="77777777" w:rsidR="00D16F76" w:rsidRPr="00EC4F3B" w:rsidRDefault="00D16F76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D16F76" w:rsidRPr="00EC4F3B" w14:paraId="17FEE046" w14:textId="77777777" w:rsidTr="002E4CEE">
        <w:trPr>
          <w:trHeight w:val="1121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1D2C6" w14:textId="77777777" w:rsidR="00D16F76" w:rsidRPr="00EC4F3B" w:rsidRDefault="00D16F76" w:rsidP="002F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46720A0" w14:textId="5960D0C7" w:rsidR="00E6522C" w:rsidRPr="00EC4F3B" w:rsidRDefault="00E6522C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Průzkum zájmu o témata  vzdělávacích aktivit</w:t>
            </w:r>
          </w:p>
          <w:p w14:paraId="3CA41C3B" w14:textId="7FC39622" w:rsidR="00E66396" w:rsidRPr="00EC4F3B" w:rsidRDefault="00E66396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544E91E5" w14:textId="1B487446" w:rsidR="00D16F76" w:rsidRPr="00EC4F3B" w:rsidRDefault="00E6522C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HR oddělení bude monitorovat zájem o témata pro vzdělávání mezi vědeckými pracovníky. V závislosti na finančních možnostech pak bude školení na tato témata zajišťovat či organizovat.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FD1BC" w14:textId="67C20305" w:rsidR="00D16F76" w:rsidRPr="00EC4F3B" w:rsidRDefault="00F172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D16F76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06AD2A32" w14:textId="29DE1D3F" w:rsidR="00CA6271" w:rsidRPr="00EC4F3B" w:rsidRDefault="00815380" w:rsidP="009F42EE">
            <w:pPr>
              <w:spacing w:after="0" w:line="240" w:lineRule="auto"/>
              <w:rPr>
                <w:bCs/>
                <w:sz w:val="21"/>
                <w:szCs w:val="21"/>
                <w:lang w:val="cs-CZ"/>
              </w:rPr>
            </w:pPr>
            <w:r w:rsidRPr="00EC4F3B">
              <w:rPr>
                <w:bCs/>
                <w:sz w:val="21"/>
                <w:szCs w:val="21"/>
                <w:lang w:val="cs-CZ"/>
              </w:rPr>
              <w:t>37. Povinnosti spojené s kontrolou a řízením (</w:t>
            </w:r>
            <w:r w:rsidR="009F42EE" w:rsidRPr="00EC4F3B">
              <w:rPr>
                <w:bCs/>
                <w:sz w:val="21"/>
                <w:szCs w:val="21"/>
                <w:lang w:val="cs-CZ"/>
              </w:rPr>
              <w:t>+/-)</w:t>
            </w:r>
          </w:p>
          <w:p w14:paraId="1E505457" w14:textId="77777777" w:rsidR="00D16F76" w:rsidRPr="00EC4F3B" w:rsidRDefault="00D16F76" w:rsidP="00CA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62BA" w14:textId="5E7F6E6E" w:rsidR="00D16F76" w:rsidRPr="00EC4F3B" w:rsidRDefault="00D16F76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</w:t>
            </w:r>
            <w:r w:rsidR="005D6CE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ermín</w:t>
            </w:r>
          </w:p>
          <w:p w14:paraId="11983A3D" w14:textId="7B65FC5E" w:rsidR="00D16F76" w:rsidRPr="00EC4F3B" w:rsidRDefault="00D16F76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4Q/2021</w:t>
            </w:r>
            <w:r w:rsidR="00326F50"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,</w:t>
            </w:r>
            <w:r w:rsidR="00326F50" w:rsidRPr="00EC4F3B">
              <w:rPr>
                <w:rFonts w:ascii="Calibri" w:eastAsia="Times New Roman" w:hAnsi="Calibri" w:cs="Calibri"/>
                <w:lang w:val="cs-CZ"/>
              </w:rPr>
              <w:t xml:space="preserve"> </w:t>
            </w:r>
            <w:r w:rsidR="002045F8" w:rsidRPr="00EC4F3B">
              <w:rPr>
                <w:rFonts w:ascii="Calibri" w:eastAsia="Times New Roman" w:hAnsi="Calibri" w:cs="Calibri"/>
                <w:lang w:val="cs-CZ"/>
              </w:rPr>
              <w:t>začátek, časově neohraničeno</w:t>
            </w:r>
          </w:p>
        </w:tc>
      </w:tr>
      <w:tr w:rsidR="00D16F76" w:rsidRPr="00EC4F3B" w14:paraId="2BCC0735" w14:textId="77777777" w:rsidTr="002E4CEE">
        <w:trPr>
          <w:trHeight w:val="91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940E" w14:textId="77777777" w:rsidR="00D16F76" w:rsidRPr="00EC4F3B" w:rsidRDefault="00D16F76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2A086" w14:textId="77777777" w:rsidR="00D16F76" w:rsidRPr="00EC4F3B" w:rsidRDefault="00D16F76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12BA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2407FC91" w14:textId="2E7BCFCB" w:rsidR="00F1720A" w:rsidRPr="00EC4F3B" w:rsidRDefault="009F42E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58C878A5" w14:textId="46176C51" w:rsidR="00D16F76" w:rsidRPr="00EC4F3B" w:rsidRDefault="00D16F76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547E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4DB107F6" w14:textId="0BC7E566" w:rsidR="00FA11F9" w:rsidRPr="00EC4F3B" w:rsidRDefault="009F42E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Pravidelný průzkum, jednou do roka</w:t>
            </w:r>
          </w:p>
          <w:p w14:paraId="41CB3564" w14:textId="77777777" w:rsidR="00D16F76" w:rsidRPr="00EC4F3B" w:rsidRDefault="00D16F76" w:rsidP="009F4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02073C03" w14:textId="418E195F" w:rsidR="00815380" w:rsidRPr="00EC4F3B" w:rsidRDefault="00815380" w:rsidP="00D16F76">
      <w:pPr>
        <w:rPr>
          <w:lang w:val="cs-CZ"/>
        </w:rPr>
      </w:pPr>
    </w:p>
    <w:p w14:paraId="14E67D98" w14:textId="77777777" w:rsidR="00815380" w:rsidRPr="00EC4F3B" w:rsidRDefault="00815380" w:rsidP="00D16F76">
      <w:pPr>
        <w:rPr>
          <w:lang w:val="cs-CZ"/>
        </w:rPr>
      </w:pPr>
    </w:p>
    <w:tbl>
      <w:tblPr>
        <w:tblW w:w="13874" w:type="dxa"/>
        <w:tblLook w:val="04A0" w:firstRow="1" w:lastRow="0" w:firstColumn="1" w:lastColumn="0" w:noHBand="0" w:noVBand="1"/>
      </w:tblPr>
      <w:tblGrid>
        <w:gridCol w:w="506"/>
        <w:gridCol w:w="5874"/>
        <w:gridCol w:w="3898"/>
        <w:gridCol w:w="3596"/>
      </w:tblGrid>
      <w:tr w:rsidR="00D16F76" w:rsidRPr="00EC4F3B" w14:paraId="59F39AE9" w14:textId="77777777" w:rsidTr="002E4CEE">
        <w:trPr>
          <w:trHeight w:val="28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50BE" w14:textId="77777777" w:rsidR="00D16F76" w:rsidRPr="00EC4F3B" w:rsidRDefault="00D16F76" w:rsidP="002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76629" w14:textId="288DA510" w:rsidR="00D16F76" w:rsidRPr="00EC4F3B" w:rsidRDefault="000E2590" w:rsidP="000E259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26)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70444" w14:textId="77777777" w:rsidR="00D16F76" w:rsidRPr="00EC4F3B" w:rsidRDefault="00D16F76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B8894" w14:textId="77777777" w:rsidR="00D16F76" w:rsidRPr="00EC4F3B" w:rsidRDefault="00D16F76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D16F76" w:rsidRPr="00EC4F3B" w14:paraId="06569477" w14:textId="77777777" w:rsidTr="002E4CEE">
        <w:trPr>
          <w:trHeight w:val="1121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AD44D" w14:textId="77777777" w:rsidR="00D16F76" w:rsidRPr="00EC4F3B" w:rsidRDefault="00D16F76" w:rsidP="002E4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1645537" w14:textId="66344323" w:rsidR="00C8593C" w:rsidRPr="00EC4F3B" w:rsidRDefault="00DD7490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Nabídka vzdělávacích akcí na webu instituce, konkrétně na stránce HRS4R</w:t>
            </w:r>
          </w:p>
          <w:p w14:paraId="687400B7" w14:textId="7259E588" w:rsidR="00B508E6" w:rsidRPr="00EC4F3B" w:rsidRDefault="00B508E6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7DC77BD4" w14:textId="29D37FF8" w:rsidR="00DD7490" w:rsidRPr="00EC4F3B" w:rsidRDefault="00DD7490" w:rsidP="002E4CEE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Všechny otevřené vzdělávací akce, organizované institucí budou v předstihu zveřejněny na webových stránkách. </w:t>
            </w:r>
          </w:p>
          <w:p w14:paraId="454C5CCC" w14:textId="31E128E2" w:rsidR="00D16F76" w:rsidRPr="00EC4F3B" w:rsidRDefault="00D16F76" w:rsidP="00326F50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2D61" w14:textId="3A0CC3DC" w:rsidR="00815380" w:rsidRPr="00EC4F3B" w:rsidRDefault="00F1720A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D16F76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</w:t>
            </w:r>
          </w:p>
          <w:p w14:paraId="01B142FA" w14:textId="2641491D" w:rsidR="00CA6271" w:rsidRPr="00EC4F3B" w:rsidRDefault="00815380" w:rsidP="00815380">
            <w:pPr>
              <w:spacing w:after="0" w:line="240" w:lineRule="auto"/>
              <w:rPr>
                <w:bCs/>
                <w:sz w:val="21"/>
                <w:szCs w:val="21"/>
                <w:lang w:val="cs-CZ"/>
              </w:rPr>
            </w:pPr>
            <w:r w:rsidRPr="00EC4F3B">
              <w:rPr>
                <w:bCs/>
                <w:sz w:val="21"/>
                <w:szCs w:val="21"/>
                <w:lang w:val="cs-CZ"/>
              </w:rPr>
              <w:t>39. Přístup ke vzdělávání a nepřetržitému rozvoji výzkumných pracovníků (+/-)</w:t>
            </w:r>
          </w:p>
          <w:p w14:paraId="2B269382" w14:textId="77777777" w:rsidR="00CA6271" w:rsidRPr="00EC4F3B" w:rsidRDefault="00CA6271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729EA807" w14:textId="77777777" w:rsidR="00D16F76" w:rsidRPr="00EC4F3B" w:rsidRDefault="00D16F76" w:rsidP="002F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1857" w14:textId="64B5167D" w:rsidR="00D16F76" w:rsidRPr="00EC4F3B" w:rsidRDefault="00D16F76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</w:t>
            </w:r>
            <w:r w:rsidR="005D6CE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ermín</w:t>
            </w:r>
          </w:p>
          <w:p w14:paraId="7E2FAEEC" w14:textId="77777777" w:rsidR="00D16F76" w:rsidRPr="00EC4F3B" w:rsidRDefault="00D16F76" w:rsidP="002E4C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4Q/2021</w:t>
            </w:r>
          </w:p>
        </w:tc>
      </w:tr>
      <w:tr w:rsidR="00D16F76" w:rsidRPr="00EC4F3B" w14:paraId="3669F0CB" w14:textId="77777777" w:rsidTr="002E4CEE">
        <w:trPr>
          <w:trHeight w:val="91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4F1B" w14:textId="77777777" w:rsidR="00D16F76" w:rsidRPr="00EC4F3B" w:rsidRDefault="00D16F76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98949" w14:textId="77777777" w:rsidR="00D16F76" w:rsidRPr="00EC4F3B" w:rsidRDefault="00D16F76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58DF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4D8729A0" w14:textId="3B115D28" w:rsidR="00B61C2D" w:rsidRPr="00EC4F3B" w:rsidRDefault="00B61C2D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601C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5384FD37" w14:textId="5CF11CDF" w:rsidR="00B61C2D" w:rsidRPr="00EC4F3B" w:rsidRDefault="00B61C2D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Vzdělávací příležitosti k dispozici na webu HRS4R</w:t>
            </w:r>
          </w:p>
          <w:p w14:paraId="02489ADE" w14:textId="77777777" w:rsidR="00D16F76" w:rsidRPr="00EC4F3B" w:rsidRDefault="00D16F76" w:rsidP="00B61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46822891" w14:textId="502C7718" w:rsidR="00EF18B4" w:rsidRPr="00EC4F3B" w:rsidRDefault="00EF18B4" w:rsidP="00D16F76">
      <w:pPr>
        <w:rPr>
          <w:lang w:val="cs-CZ"/>
        </w:rPr>
      </w:pPr>
    </w:p>
    <w:p w14:paraId="54E1B427" w14:textId="628247A0" w:rsidR="00C14A55" w:rsidRPr="00EC4F3B" w:rsidRDefault="00C14A55" w:rsidP="00D16F76">
      <w:pPr>
        <w:rPr>
          <w:lang w:val="cs-CZ"/>
        </w:rPr>
      </w:pPr>
    </w:p>
    <w:p w14:paraId="3B02BDC3" w14:textId="7336A63F" w:rsidR="00815380" w:rsidRPr="00EC4F3B" w:rsidRDefault="00815380" w:rsidP="00D16F76">
      <w:pPr>
        <w:rPr>
          <w:lang w:val="cs-CZ"/>
        </w:rPr>
      </w:pPr>
    </w:p>
    <w:p w14:paraId="1294B8E0" w14:textId="77777777" w:rsidR="00815380" w:rsidRPr="00EC4F3B" w:rsidRDefault="00815380" w:rsidP="00D16F76">
      <w:pPr>
        <w:rPr>
          <w:lang w:val="cs-CZ"/>
        </w:rPr>
      </w:pPr>
    </w:p>
    <w:p w14:paraId="0A5B2F1A" w14:textId="77777777" w:rsidR="00C44764" w:rsidRPr="00EC4F3B" w:rsidRDefault="00C44764" w:rsidP="00C44764">
      <w:pPr>
        <w:rPr>
          <w:lang w:val="cs-CZ"/>
        </w:rPr>
      </w:pPr>
    </w:p>
    <w:p w14:paraId="672AA58D" w14:textId="77777777" w:rsidR="00C44764" w:rsidRPr="00EC4F3B" w:rsidRDefault="00C44764" w:rsidP="00C44764">
      <w:pPr>
        <w:rPr>
          <w:lang w:val="cs-CZ"/>
        </w:rPr>
      </w:pPr>
    </w:p>
    <w:tbl>
      <w:tblPr>
        <w:tblW w:w="13874" w:type="dxa"/>
        <w:tblLook w:val="04A0" w:firstRow="1" w:lastRow="0" w:firstColumn="1" w:lastColumn="0" w:noHBand="0" w:noVBand="1"/>
      </w:tblPr>
      <w:tblGrid>
        <w:gridCol w:w="506"/>
        <w:gridCol w:w="5874"/>
        <w:gridCol w:w="3898"/>
        <w:gridCol w:w="3596"/>
      </w:tblGrid>
      <w:tr w:rsidR="00C44764" w:rsidRPr="00EC4F3B" w14:paraId="72923770" w14:textId="77777777" w:rsidTr="002E4CEE">
        <w:trPr>
          <w:trHeight w:val="28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F966" w14:textId="77777777" w:rsidR="00C44764" w:rsidRPr="00EC4F3B" w:rsidRDefault="00C44764" w:rsidP="00C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59C78" w14:textId="5D0216BA" w:rsidR="00C44764" w:rsidRPr="00EC4F3B" w:rsidRDefault="000E2590" w:rsidP="000E259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27)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055F9" w14:textId="77777777" w:rsidR="00C44764" w:rsidRPr="00EC4F3B" w:rsidRDefault="00C44764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F1C01" w14:textId="77777777" w:rsidR="00C44764" w:rsidRPr="00EC4F3B" w:rsidRDefault="00C44764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C44764" w:rsidRPr="00EC4F3B" w14:paraId="78098010" w14:textId="77777777" w:rsidTr="002E4CEE">
        <w:trPr>
          <w:trHeight w:val="1121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5C529" w14:textId="77777777" w:rsidR="00C44764" w:rsidRPr="00EC4F3B" w:rsidRDefault="00C44764" w:rsidP="00C44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3D252AF" w14:textId="625ADE23" w:rsidR="00DD7490" w:rsidRPr="00EC4F3B" w:rsidRDefault="00DD7490" w:rsidP="00C44764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Program mentoringu</w:t>
            </w:r>
          </w:p>
          <w:p w14:paraId="5149B14D" w14:textId="0DFA78C0" w:rsidR="00C44764" w:rsidRPr="00EC4F3B" w:rsidRDefault="00C44764" w:rsidP="00C44764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1323B71C" w14:textId="6BA8DDA1" w:rsidR="00E66396" w:rsidRPr="00EC4F3B" w:rsidRDefault="00DD7490" w:rsidP="00C44764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Nedávno implementovaný program mentoringu </w:t>
            </w:r>
            <w:r w:rsidR="00F11311" w:rsidRPr="00EC4F3B">
              <w:rPr>
                <w:rFonts w:ascii="Calibri" w:eastAsia="Times New Roman" w:hAnsi="Calibri" w:cs="Calibri"/>
                <w:color w:val="000000"/>
                <w:lang w:val="cs-CZ"/>
              </w:rPr>
              <w:t>podpoří zejména vědecké pracovníky na začátku kariéry v rozvoji jejich profesních dovedností.</w:t>
            </w:r>
          </w:p>
          <w:p w14:paraId="60AEAF00" w14:textId="750EFE01" w:rsidR="00C44764" w:rsidRPr="00EC4F3B" w:rsidRDefault="00F11311" w:rsidP="00C44764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Další přidanou hodnotou je podpora Vedoucích laboratoří, kteří v  roli mentorů budou mít možnost účastnit se školení na témata, která si sami určí (leadership skills apod.). Dále budou mít možnost konzultovat otázky svého kariérního rozvoje s Garantem mentoringu.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80B2" w14:textId="205FE7E2" w:rsidR="00C44764" w:rsidRPr="00EC4F3B" w:rsidRDefault="00F1720A" w:rsidP="00977A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C44764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1377D7A9" w14:textId="7AE822AF" w:rsidR="00815380" w:rsidRPr="00EC4F3B" w:rsidRDefault="00815380" w:rsidP="001A6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28. Profesí rozvoj (+/-)</w:t>
            </w:r>
          </w:p>
          <w:p w14:paraId="3549FF91" w14:textId="3B964AA4" w:rsidR="00815380" w:rsidRPr="00EC4F3B" w:rsidRDefault="00815380" w:rsidP="001A6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30. Přístup ke kariérnímu poradenství</w:t>
            </w:r>
            <w:r w:rsidR="001A60DF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 (+/-)</w:t>
            </w:r>
          </w:p>
          <w:p w14:paraId="2050F4E6" w14:textId="10F71964" w:rsidR="001A60DF" w:rsidRPr="00EC4F3B" w:rsidRDefault="001A60DF" w:rsidP="001A6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36. Vztahy s vedoucími pracovníky (+/-)</w:t>
            </w:r>
          </w:p>
          <w:p w14:paraId="369F24E4" w14:textId="3EBDF008" w:rsidR="001A60DF" w:rsidRPr="00EC4F3B" w:rsidRDefault="001A60DF" w:rsidP="001A6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37. Povinnosti spojené s kontrolou a řízením (+/-)</w:t>
            </w:r>
          </w:p>
          <w:p w14:paraId="237B8DD3" w14:textId="0FBA4CCC" w:rsidR="003575CB" w:rsidRPr="00EC4F3B" w:rsidRDefault="003575CB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3B77DE41" w14:textId="77777777" w:rsidR="00C44764" w:rsidRPr="00EC4F3B" w:rsidRDefault="00C44764" w:rsidP="0097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422D" w14:textId="01D9FBCF" w:rsidR="00C44764" w:rsidRPr="00EC4F3B" w:rsidRDefault="00B61C2D" w:rsidP="00C4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1F7574AB" w14:textId="77777777" w:rsidR="00C44764" w:rsidRPr="00EC4F3B" w:rsidRDefault="00C44764" w:rsidP="00C447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1Q/2021</w:t>
            </w:r>
          </w:p>
        </w:tc>
      </w:tr>
      <w:tr w:rsidR="00C44764" w:rsidRPr="00EC4F3B" w14:paraId="1F8DD145" w14:textId="77777777" w:rsidTr="002E4CEE">
        <w:trPr>
          <w:trHeight w:val="91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D725" w14:textId="77777777" w:rsidR="00C44764" w:rsidRPr="00EC4F3B" w:rsidRDefault="00C44764" w:rsidP="00C44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462E8" w14:textId="77777777" w:rsidR="00C44764" w:rsidRPr="00EC4F3B" w:rsidRDefault="00C44764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58B8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3B2FE86C" w14:textId="62D95296" w:rsidR="00F1720A" w:rsidRPr="00EC4F3B" w:rsidRDefault="00B61C2D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46421E8E" w14:textId="6919C15A" w:rsidR="00B61C2D" w:rsidRPr="00EC4F3B" w:rsidRDefault="00B61C2D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Garant mentoringu</w:t>
            </w:r>
          </w:p>
          <w:p w14:paraId="487EED43" w14:textId="1E08AD2B" w:rsidR="00C44764" w:rsidRPr="00EC4F3B" w:rsidRDefault="00C44764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B51B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1864F13F" w14:textId="2FF7F885" w:rsidR="00FA11F9" w:rsidRPr="00EC4F3B" w:rsidRDefault="00B61C2D" w:rsidP="00C44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Existence příručky mentoring, 10 mentorů podpořeno expertem na mentoring. 20 mentees podpořeno svými mentory. Program doložený příslušnou dokumentací.</w:t>
            </w:r>
          </w:p>
          <w:p w14:paraId="0230A746" w14:textId="5705DEE2" w:rsidR="00C44764" w:rsidRPr="00EC4F3B" w:rsidRDefault="00C44764" w:rsidP="00C447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</w:tc>
      </w:tr>
    </w:tbl>
    <w:p w14:paraId="1EA1F752" w14:textId="77777777" w:rsidR="00C504CF" w:rsidRPr="00EC4F3B" w:rsidRDefault="00C504CF" w:rsidP="00C504CF">
      <w:pPr>
        <w:rPr>
          <w:lang w:val="cs-CZ"/>
        </w:rPr>
      </w:pPr>
    </w:p>
    <w:p w14:paraId="4699D88F" w14:textId="1880F8F3" w:rsidR="00C504CF" w:rsidRPr="00EC4F3B" w:rsidRDefault="00C504CF" w:rsidP="00C504CF">
      <w:pPr>
        <w:rPr>
          <w:lang w:val="cs-CZ"/>
        </w:rPr>
      </w:pPr>
    </w:p>
    <w:p w14:paraId="26DB3CCC" w14:textId="43B832A1" w:rsidR="00BE49EB" w:rsidRPr="00EC4F3B" w:rsidRDefault="00BE49EB" w:rsidP="00C504CF">
      <w:pPr>
        <w:rPr>
          <w:lang w:val="cs-CZ"/>
        </w:rPr>
      </w:pPr>
    </w:p>
    <w:p w14:paraId="0C7B2023" w14:textId="6A8C836D" w:rsidR="00BE49EB" w:rsidRPr="00EC4F3B" w:rsidRDefault="00BE49EB" w:rsidP="00C504CF">
      <w:pPr>
        <w:rPr>
          <w:lang w:val="cs-CZ"/>
        </w:rPr>
      </w:pPr>
    </w:p>
    <w:p w14:paraId="0B100593" w14:textId="65B1AEE8" w:rsidR="002E5DC7" w:rsidRPr="00EC4F3B" w:rsidRDefault="002E5DC7" w:rsidP="00C504CF">
      <w:pPr>
        <w:rPr>
          <w:lang w:val="cs-CZ"/>
        </w:rPr>
      </w:pPr>
    </w:p>
    <w:p w14:paraId="5CBB67C3" w14:textId="77777777" w:rsidR="002E5DC7" w:rsidRPr="00EC4F3B" w:rsidRDefault="002E5DC7" w:rsidP="00C504CF">
      <w:pPr>
        <w:rPr>
          <w:lang w:val="cs-CZ"/>
        </w:rPr>
      </w:pPr>
    </w:p>
    <w:tbl>
      <w:tblPr>
        <w:tblW w:w="13874" w:type="dxa"/>
        <w:tblLook w:val="04A0" w:firstRow="1" w:lastRow="0" w:firstColumn="1" w:lastColumn="0" w:noHBand="0" w:noVBand="1"/>
      </w:tblPr>
      <w:tblGrid>
        <w:gridCol w:w="426"/>
        <w:gridCol w:w="5954"/>
        <w:gridCol w:w="3898"/>
        <w:gridCol w:w="3596"/>
      </w:tblGrid>
      <w:tr w:rsidR="00C504CF" w:rsidRPr="00EC4F3B" w14:paraId="036020CA" w14:textId="77777777" w:rsidTr="00F11311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C2A3" w14:textId="77777777" w:rsidR="00C504CF" w:rsidRPr="00EC4F3B" w:rsidRDefault="00C504CF" w:rsidP="00C5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8B524" w14:textId="342EB516" w:rsidR="00C504CF" w:rsidRPr="00EC4F3B" w:rsidRDefault="00A85A00" w:rsidP="00A85A0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28)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9FC51" w14:textId="77777777" w:rsidR="00C504CF" w:rsidRPr="00EC4F3B" w:rsidRDefault="00C504CF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1B240" w14:textId="77777777" w:rsidR="00C504CF" w:rsidRPr="00EC4F3B" w:rsidRDefault="00C504CF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C504CF" w:rsidRPr="00EC4F3B" w14:paraId="2E7526CA" w14:textId="77777777" w:rsidTr="00F11311">
        <w:trPr>
          <w:trHeight w:val="112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68934" w14:textId="77777777" w:rsidR="00C504CF" w:rsidRPr="00EC4F3B" w:rsidRDefault="00C504CF" w:rsidP="00D1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7C0D6CD" w14:textId="4D0BCC44" w:rsidR="00E27D1D" w:rsidRPr="00EC4F3B" w:rsidRDefault="00E27D1D" w:rsidP="00E27D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Setkání Vedoucích laboratoří k tématu “Kariérní poradenství”</w:t>
            </w:r>
          </w:p>
          <w:p w14:paraId="3971AD74" w14:textId="77777777" w:rsidR="00E27D1D" w:rsidRPr="00EC4F3B" w:rsidRDefault="00E27D1D" w:rsidP="00C504CF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0D70A145" w14:textId="5AF3C9A4" w:rsidR="00E27D1D" w:rsidRPr="00EC4F3B" w:rsidRDefault="00E27D1D" w:rsidP="00C504CF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Vedoucí laboratoří budou na pravidelném setkání </w:t>
            </w:r>
            <w:r w:rsidR="00FF7442" w:rsidRPr="00EC4F3B">
              <w:rPr>
                <w:rFonts w:ascii="Calibri" w:eastAsia="Times New Roman" w:hAnsi="Calibri" w:cs="Calibri"/>
                <w:color w:val="000000"/>
                <w:lang w:val="cs-CZ"/>
              </w:rPr>
              <w:t>zdůrazněna jejich role, coby poradců ve věci kariérního rozvoje začínajících vědeckých pracovníků. Tato jejich zodpovědnost (či kompetence) bude podpořena možností konzultovat s Garantem mentoringu.</w:t>
            </w:r>
          </w:p>
          <w:p w14:paraId="33755814" w14:textId="77777777" w:rsidR="00E27D1D" w:rsidRPr="00EC4F3B" w:rsidRDefault="00E27D1D" w:rsidP="00C504CF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</w:p>
          <w:p w14:paraId="5037CA30" w14:textId="3ADD6837" w:rsidR="00C504CF" w:rsidRPr="00EC4F3B" w:rsidRDefault="00A85A00" w:rsidP="00A85A00">
            <w:pPr>
              <w:tabs>
                <w:tab w:val="left" w:pos="27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lang w:val="cs-CZ"/>
              </w:rPr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693C" w14:textId="739A17C9" w:rsidR="00C504CF" w:rsidRPr="00EC4F3B" w:rsidRDefault="001918A7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C504CF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1F9A7280" w14:textId="63CA1207" w:rsidR="001A60DF" w:rsidRPr="00EC4F3B" w:rsidRDefault="001A60DF" w:rsidP="001A60DF">
            <w:pPr>
              <w:pStyle w:val="TableParagraph"/>
              <w:spacing w:before="78"/>
              <w:ind w:left="0" w:right="52"/>
              <w:rPr>
                <w:rFonts w:asciiTheme="minorHAnsi" w:hAnsiTheme="minorHAnsi" w:cstheme="minorHAnsi"/>
                <w:sz w:val="21"/>
                <w:szCs w:val="21"/>
                <w:lang w:val="cs-CZ"/>
              </w:rPr>
            </w:pPr>
            <w:r w:rsidRPr="00EC4F3B">
              <w:rPr>
                <w:rFonts w:asciiTheme="minorHAnsi" w:hAnsiTheme="minorHAnsi" w:cstheme="minorHAnsi"/>
                <w:sz w:val="21"/>
                <w:szCs w:val="21"/>
                <w:lang w:val="cs-CZ"/>
              </w:rPr>
              <w:t>30.</w:t>
            </w:r>
            <w:r w:rsidR="00F226FF">
              <w:rPr>
                <w:rFonts w:asciiTheme="minorHAnsi" w:hAnsiTheme="minorHAnsi" w:cstheme="minorHAnsi"/>
                <w:sz w:val="21"/>
                <w:szCs w:val="21"/>
                <w:lang w:val="cs-CZ"/>
              </w:rPr>
              <w:t xml:space="preserve"> </w:t>
            </w:r>
            <w:r w:rsidRPr="00EC4F3B">
              <w:rPr>
                <w:rFonts w:asciiTheme="minorHAnsi" w:hAnsiTheme="minorHAnsi" w:cstheme="minorHAnsi"/>
                <w:sz w:val="21"/>
                <w:szCs w:val="21"/>
                <w:lang w:val="cs-CZ"/>
              </w:rPr>
              <w:t xml:space="preserve">Přístup ke kariérnímu poradenství </w:t>
            </w:r>
            <w:r w:rsidR="00F226FF">
              <w:rPr>
                <w:rFonts w:asciiTheme="minorHAnsi" w:hAnsiTheme="minorHAnsi" w:cstheme="minorHAnsi"/>
                <w:sz w:val="21"/>
                <w:szCs w:val="21"/>
                <w:lang w:val="cs-CZ"/>
              </w:rPr>
              <w:t xml:space="preserve">    </w:t>
            </w:r>
            <w:r w:rsidRPr="00EC4F3B">
              <w:rPr>
                <w:rFonts w:eastAsia="Times New Roman"/>
                <w:color w:val="000000"/>
                <w:lang w:val="cs-CZ"/>
              </w:rPr>
              <w:t>(+/-)</w:t>
            </w:r>
          </w:p>
          <w:p w14:paraId="13EA6E87" w14:textId="77777777" w:rsidR="00C504CF" w:rsidRPr="00EC4F3B" w:rsidRDefault="00C504CF" w:rsidP="001A60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EB0A" w14:textId="19C46CCC" w:rsidR="00C504CF" w:rsidRPr="00EC4F3B" w:rsidRDefault="00B61C2D" w:rsidP="00C50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22ABA8BD" w14:textId="77777777" w:rsidR="00C504CF" w:rsidRPr="00EC4F3B" w:rsidRDefault="005C0956" w:rsidP="00C504C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1Q/2022</w:t>
            </w:r>
          </w:p>
        </w:tc>
      </w:tr>
      <w:tr w:rsidR="00C504CF" w:rsidRPr="00EC4F3B" w14:paraId="51D6B336" w14:textId="77777777" w:rsidTr="00F11311">
        <w:trPr>
          <w:trHeight w:val="91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DBD6" w14:textId="77777777" w:rsidR="00C504CF" w:rsidRPr="00EC4F3B" w:rsidRDefault="00C504CF" w:rsidP="00C50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79362" w14:textId="77777777" w:rsidR="00C504CF" w:rsidRPr="00EC4F3B" w:rsidRDefault="00C504CF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9DA7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70BE6CA3" w14:textId="59B7F22F" w:rsidR="00F1720A" w:rsidRPr="00EC4F3B" w:rsidRDefault="00B61C2D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Garant projektu</w:t>
            </w:r>
          </w:p>
          <w:p w14:paraId="00D2D6B6" w14:textId="5D010F72" w:rsidR="00B61C2D" w:rsidRPr="00EC4F3B" w:rsidRDefault="00B61C2D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Vedoucí laboratoří</w:t>
            </w:r>
          </w:p>
          <w:p w14:paraId="0CBA670D" w14:textId="439057C2" w:rsidR="00B61C2D" w:rsidRPr="00EC4F3B" w:rsidRDefault="00B61C2D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3A97CC7B" w14:textId="13839747" w:rsidR="005C0956" w:rsidRPr="00EC4F3B" w:rsidRDefault="005C0956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048E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6663BFDA" w14:textId="284CE144" w:rsidR="00FA11F9" w:rsidRPr="00EC4F3B" w:rsidRDefault="00B61C2D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Prezenční listiny</w:t>
            </w:r>
          </w:p>
          <w:p w14:paraId="286AB39D" w14:textId="287CC344" w:rsidR="00B61C2D" w:rsidRPr="00EC4F3B" w:rsidRDefault="00B61C2D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Záznamy</w:t>
            </w:r>
          </w:p>
          <w:p w14:paraId="602483EC" w14:textId="3C9894D4" w:rsidR="00C504CF" w:rsidRPr="00EC4F3B" w:rsidRDefault="00C504CF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73E5CC2C" w14:textId="555BC4C5" w:rsidR="005C0956" w:rsidRPr="00EC4F3B" w:rsidRDefault="005C0956" w:rsidP="00C5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61A4295C" w14:textId="66264854" w:rsidR="002045F8" w:rsidRPr="00EC4F3B" w:rsidRDefault="002045F8" w:rsidP="002E4CEE">
      <w:pPr>
        <w:rPr>
          <w:lang w:val="cs-CZ"/>
        </w:rPr>
      </w:pPr>
    </w:p>
    <w:tbl>
      <w:tblPr>
        <w:tblW w:w="13458" w:type="dxa"/>
        <w:tblInd w:w="416" w:type="dxa"/>
        <w:tblLook w:val="04A0" w:firstRow="1" w:lastRow="0" w:firstColumn="1" w:lastColumn="0" w:noHBand="0" w:noVBand="1"/>
      </w:tblPr>
      <w:tblGrid>
        <w:gridCol w:w="5680"/>
        <w:gridCol w:w="4046"/>
        <w:gridCol w:w="3732"/>
      </w:tblGrid>
      <w:tr w:rsidR="002E4CEE" w:rsidRPr="00EC4F3B" w14:paraId="0F913988" w14:textId="77777777" w:rsidTr="006D52F3">
        <w:trPr>
          <w:trHeight w:val="28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064BD" w14:textId="7EE5ECD2" w:rsidR="002E4CEE" w:rsidRPr="00EC4F3B" w:rsidRDefault="00A85A00" w:rsidP="00A85A0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29)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40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57DA7" w14:textId="77777777" w:rsidR="002E4CEE" w:rsidRPr="00EC4F3B" w:rsidRDefault="002E4CE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24516" w14:textId="77777777" w:rsidR="002E4CEE" w:rsidRPr="00EC4F3B" w:rsidRDefault="002E4CE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2E4CEE" w:rsidRPr="00EC4F3B" w14:paraId="09EB364B" w14:textId="77777777" w:rsidTr="006D52F3">
        <w:trPr>
          <w:trHeight w:val="1121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158D665" w14:textId="5277C406" w:rsidR="002E4CEE" w:rsidRPr="00EC4F3B" w:rsidRDefault="0003106E" w:rsidP="002E4CEE">
            <w:pPr>
              <w:spacing w:after="0" w:line="240" w:lineRule="auto"/>
              <w:jc w:val="both"/>
              <w:rPr>
                <w:b/>
                <w:lang w:val="cs-CZ"/>
              </w:rPr>
            </w:pPr>
            <w:r w:rsidRPr="00EC4F3B">
              <w:rPr>
                <w:b/>
                <w:lang w:val="cs-CZ"/>
              </w:rPr>
              <w:t>“</w:t>
            </w:r>
            <w:r w:rsidR="005C0956" w:rsidRPr="005D6CEB">
              <w:rPr>
                <w:b/>
                <w:lang w:val="en-GB"/>
              </w:rPr>
              <w:t>Science Coffees</w:t>
            </w:r>
            <w:r w:rsidRPr="00EC4F3B">
              <w:rPr>
                <w:b/>
                <w:lang w:val="cs-CZ"/>
              </w:rPr>
              <w:t>”</w:t>
            </w:r>
          </w:p>
          <w:p w14:paraId="3B23FD0F" w14:textId="77777777" w:rsidR="00321A82" w:rsidRPr="00EC4F3B" w:rsidRDefault="00321A82" w:rsidP="002E4CEE">
            <w:pPr>
              <w:spacing w:after="0" w:line="240" w:lineRule="auto"/>
              <w:jc w:val="both"/>
              <w:rPr>
                <w:lang w:val="cs-CZ"/>
              </w:rPr>
            </w:pPr>
          </w:p>
          <w:p w14:paraId="64DE2C3B" w14:textId="6CD0218E" w:rsidR="0003106E" w:rsidRPr="00EC4F3B" w:rsidRDefault="0003106E" w:rsidP="002E4CEE">
            <w:pPr>
              <w:spacing w:after="0" w:line="240" w:lineRule="auto"/>
              <w:jc w:val="both"/>
              <w:rPr>
                <w:lang w:val="cs-CZ"/>
              </w:rPr>
            </w:pPr>
            <w:r w:rsidRPr="00EC4F3B">
              <w:rPr>
                <w:lang w:val="cs-CZ"/>
              </w:rPr>
              <w:t>HR oddělení pomůže obnovit pravidelná setkávání PhD studentů, dříve org</w:t>
            </w:r>
            <w:r w:rsidR="00EF36FE" w:rsidRPr="00EC4F3B">
              <w:rPr>
                <w:lang w:val="cs-CZ"/>
              </w:rPr>
              <w:t>anizovaná každý měsíc coby příležitost navzájem diskutovat a připomínkovat své výzkumné projekty. Tato pravidelná setkání ustala s ohledem na Covid situaci.</w:t>
            </w:r>
          </w:p>
          <w:p w14:paraId="07A427A5" w14:textId="1D118F2D" w:rsidR="00EF36FE" w:rsidRPr="00EC4F3B" w:rsidRDefault="00EF36FE" w:rsidP="002E4CEE">
            <w:pPr>
              <w:spacing w:after="0" w:line="240" w:lineRule="auto"/>
              <w:jc w:val="both"/>
              <w:rPr>
                <w:lang w:val="cs-CZ"/>
              </w:rPr>
            </w:pPr>
            <w:r w:rsidRPr="00EC4F3B">
              <w:rPr>
                <w:lang w:val="cs-CZ"/>
              </w:rPr>
              <w:t>Pravidelným organizátorem bude opět jeden z vědců.</w:t>
            </w:r>
          </w:p>
          <w:p w14:paraId="352278C2" w14:textId="77777777" w:rsidR="002E4CEE" w:rsidRPr="00EC4F3B" w:rsidRDefault="002E4CEE" w:rsidP="002E4CEE">
            <w:pPr>
              <w:spacing w:after="0" w:line="240" w:lineRule="auto"/>
              <w:jc w:val="both"/>
              <w:rPr>
                <w:lang w:val="cs-CZ"/>
              </w:rPr>
            </w:pPr>
          </w:p>
          <w:p w14:paraId="067F78EE" w14:textId="77777777" w:rsidR="002E4CEE" w:rsidRPr="00EC4F3B" w:rsidRDefault="002E4CEE" w:rsidP="002E4C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660F" w14:textId="099A6D96" w:rsidR="001A60DF" w:rsidRPr="00EC4F3B" w:rsidRDefault="001918A7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GAP Principy</w:t>
            </w:r>
            <w:r w:rsidR="002E4CEE"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</w:t>
            </w:r>
          </w:p>
          <w:p w14:paraId="3B6DC44A" w14:textId="4DE81912" w:rsidR="001A60DF" w:rsidRPr="00EC4F3B" w:rsidRDefault="001A60DF" w:rsidP="001A60DF">
            <w:pPr>
              <w:pStyle w:val="TableParagraph"/>
              <w:spacing w:before="78"/>
              <w:ind w:left="0"/>
              <w:rPr>
                <w:rFonts w:asciiTheme="minorHAnsi" w:hAnsiTheme="minorHAnsi" w:cstheme="minorHAnsi"/>
                <w:sz w:val="21"/>
                <w:szCs w:val="21"/>
                <w:lang w:val="cs-CZ"/>
              </w:rPr>
            </w:pPr>
            <w:r w:rsidRPr="00EC4F3B">
              <w:rPr>
                <w:rFonts w:asciiTheme="minorHAnsi" w:hAnsiTheme="minorHAnsi" w:cstheme="minorHAnsi"/>
                <w:sz w:val="21"/>
                <w:szCs w:val="21"/>
                <w:lang w:val="cs-CZ"/>
              </w:rPr>
              <w:t xml:space="preserve">28. Profesí rozvoj </w:t>
            </w:r>
            <w:r w:rsidRPr="00EC4F3B">
              <w:rPr>
                <w:bCs/>
                <w:sz w:val="21"/>
                <w:szCs w:val="21"/>
                <w:lang w:val="cs-CZ"/>
              </w:rPr>
              <w:t>(</w:t>
            </w:r>
            <w:r w:rsidRPr="00EC4F3B">
              <w:rPr>
                <w:sz w:val="20"/>
                <w:szCs w:val="20"/>
                <w:lang w:val="cs-CZ"/>
              </w:rPr>
              <w:t>+/-)</w:t>
            </w:r>
          </w:p>
          <w:p w14:paraId="21A0C6BD" w14:textId="7A8AAE87" w:rsidR="003575CB" w:rsidRPr="00EC4F3B" w:rsidRDefault="003575CB" w:rsidP="001A60DF">
            <w:pPr>
              <w:spacing w:after="0"/>
              <w:rPr>
                <w:b/>
                <w:bCs/>
                <w:lang w:val="cs-CZ"/>
              </w:rPr>
            </w:pPr>
          </w:p>
          <w:p w14:paraId="68435E17" w14:textId="77777777" w:rsidR="002E4CEE" w:rsidRPr="00EC4F3B" w:rsidRDefault="002E4CE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7A5C" w14:textId="31E1B55E" w:rsidR="002E4CEE" w:rsidRPr="00EC4F3B" w:rsidRDefault="00B61C2D" w:rsidP="002E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39B83214" w14:textId="04169B22" w:rsidR="002045F8" w:rsidRPr="00EC4F3B" w:rsidRDefault="006D52F3" w:rsidP="0020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lang w:val="cs-CZ"/>
              </w:rPr>
              <w:t>2</w:t>
            </w:r>
            <w:r w:rsidR="002E4CEE" w:rsidRPr="00EC4F3B">
              <w:rPr>
                <w:rFonts w:ascii="Calibri" w:eastAsia="Times New Roman" w:hAnsi="Calibri" w:cs="Calibri"/>
                <w:lang w:val="cs-CZ"/>
              </w:rPr>
              <w:t xml:space="preserve">Q/2021 </w:t>
            </w:r>
            <w:r w:rsidR="002045F8" w:rsidRPr="00EC4F3B">
              <w:rPr>
                <w:rFonts w:ascii="Calibri" w:eastAsia="Times New Roman" w:hAnsi="Calibri" w:cs="Calibri"/>
                <w:lang w:val="cs-CZ"/>
              </w:rPr>
              <w:t>znovuobnovení, časově neohraničeno</w:t>
            </w:r>
          </w:p>
          <w:p w14:paraId="17CC0BBE" w14:textId="26C47512" w:rsidR="002E4CEE" w:rsidRPr="00EC4F3B" w:rsidRDefault="002E4CEE" w:rsidP="002E4CEE">
            <w:pPr>
              <w:rPr>
                <w:rFonts w:ascii="Calibri" w:eastAsia="Times New Roman" w:hAnsi="Calibri" w:cs="Calibri"/>
                <w:lang w:val="cs-CZ"/>
              </w:rPr>
            </w:pPr>
          </w:p>
        </w:tc>
      </w:tr>
      <w:tr w:rsidR="002E4CEE" w:rsidRPr="00EC4F3B" w14:paraId="588A6E01" w14:textId="77777777" w:rsidTr="006D52F3">
        <w:trPr>
          <w:trHeight w:val="919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E8C8D" w14:textId="77777777" w:rsidR="002E4CEE" w:rsidRPr="00EC4F3B" w:rsidRDefault="002E4CEE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C6A3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5CC35FCB" w14:textId="3E09C250" w:rsidR="00F1720A" w:rsidRPr="00EC4F3B" w:rsidRDefault="00B61C2D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Neformální aktivita vědců</w:t>
            </w:r>
          </w:p>
          <w:p w14:paraId="1770557A" w14:textId="322176B5" w:rsidR="00B61C2D" w:rsidRPr="00EC4F3B" w:rsidRDefault="00B61C2D" w:rsidP="002E4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  <w:p w14:paraId="0A8ADD1C" w14:textId="77777777" w:rsidR="002E4CEE" w:rsidRPr="00EC4F3B" w:rsidRDefault="002E4CEE" w:rsidP="00B61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720C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3A3A74E5" w14:textId="55B5BFB8" w:rsidR="00FA11F9" w:rsidRPr="00EC4F3B" w:rsidRDefault="00B61C2D" w:rsidP="00E760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Jednou měsíčně zaslaná pozvánka e-mailem vědeckým pracovníkům</w:t>
            </w:r>
          </w:p>
          <w:p w14:paraId="23BEEDBA" w14:textId="3888CE7C" w:rsidR="002E4CEE" w:rsidRPr="00EC4F3B" w:rsidRDefault="002E4CEE" w:rsidP="00E760B7">
            <w:pPr>
              <w:spacing w:after="0" w:line="240" w:lineRule="auto"/>
              <w:jc w:val="both"/>
              <w:rPr>
                <w:lang w:val="cs-CZ"/>
              </w:rPr>
            </w:pPr>
          </w:p>
          <w:p w14:paraId="6EB2B303" w14:textId="77777777" w:rsidR="00E760B7" w:rsidRPr="00EC4F3B" w:rsidRDefault="00E760B7" w:rsidP="00E760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61361AD1" w14:textId="5FBCAC4F" w:rsidR="00B4656B" w:rsidRPr="00EC4F3B" w:rsidRDefault="00B4656B" w:rsidP="00D16F76">
      <w:pPr>
        <w:rPr>
          <w:lang w:val="cs-CZ"/>
        </w:rPr>
      </w:pPr>
    </w:p>
    <w:p w14:paraId="26B3FA90" w14:textId="3191D13E" w:rsidR="005C0956" w:rsidRPr="00EC4F3B" w:rsidRDefault="005C0956" w:rsidP="00D16F76">
      <w:pPr>
        <w:rPr>
          <w:lang w:val="cs-CZ"/>
        </w:rPr>
      </w:pPr>
    </w:p>
    <w:p w14:paraId="42151350" w14:textId="77777777" w:rsidR="00C14A55" w:rsidRPr="00EC4F3B" w:rsidRDefault="00C14A55" w:rsidP="00D16F76">
      <w:pPr>
        <w:rPr>
          <w:lang w:val="cs-CZ"/>
        </w:rPr>
      </w:pPr>
    </w:p>
    <w:tbl>
      <w:tblPr>
        <w:tblW w:w="13458" w:type="dxa"/>
        <w:tblInd w:w="416" w:type="dxa"/>
        <w:tblLook w:val="04A0" w:firstRow="1" w:lastRow="0" w:firstColumn="1" w:lastColumn="0" w:noHBand="0" w:noVBand="1"/>
      </w:tblPr>
      <w:tblGrid>
        <w:gridCol w:w="5680"/>
        <w:gridCol w:w="4046"/>
        <w:gridCol w:w="3732"/>
      </w:tblGrid>
      <w:tr w:rsidR="005C0956" w:rsidRPr="00EC4F3B" w14:paraId="10C81326" w14:textId="77777777" w:rsidTr="00001C19">
        <w:trPr>
          <w:trHeight w:val="28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03FB3" w14:textId="55BB40B4" w:rsidR="005C0956" w:rsidRPr="00EC4F3B" w:rsidRDefault="00A85A00" w:rsidP="00A85A0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30) </w:t>
            </w:r>
            <w:r w:rsidR="00A90D97" w:rsidRPr="00EC4F3B">
              <w:rPr>
                <w:rFonts w:ascii="Calibri" w:eastAsia="Times New Roman" w:hAnsi="Calibri" w:cs="Calibri"/>
                <w:color w:val="000000"/>
                <w:lang w:val="cs-CZ"/>
              </w:rPr>
              <w:t>ČÍSLO AKCE</w:t>
            </w:r>
          </w:p>
        </w:tc>
        <w:tc>
          <w:tcPr>
            <w:tcW w:w="40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8AA9D" w14:textId="77777777" w:rsidR="005C0956" w:rsidRPr="00EC4F3B" w:rsidRDefault="005C0956" w:rsidP="0000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63B26" w14:textId="77777777" w:rsidR="005C0956" w:rsidRPr="00EC4F3B" w:rsidRDefault="005C0956" w:rsidP="0000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5C0956" w:rsidRPr="00EC4F3B" w14:paraId="480B7DA5" w14:textId="77777777" w:rsidTr="00001C19">
        <w:trPr>
          <w:trHeight w:val="1121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6935352" w14:textId="3237EDDB" w:rsidR="005C0956" w:rsidRPr="00EC4F3B" w:rsidRDefault="00EF36FE" w:rsidP="00001C19">
            <w:pPr>
              <w:spacing w:after="0" w:line="240" w:lineRule="auto"/>
              <w:jc w:val="both"/>
              <w:rPr>
                <w:b/>
                <w:lang w:val="cs-CZ"/>
              </w:rPr>
            </w:pPr>
            <w:r w:rsidRPr="00EC4F3B">
              <w:rPr>
                <w:b/>
                <w:lang w:val="cs-CZ"/>
              </w:rPr>
              <w:t>Všechny pozice budou inzerovány na</w:t>
            </w:r>
            <w:r w:rsidR="005C0956" w:rsidRPr="00EC4F3B">
              <w:rPr>
                <w:b/>
                <w:lang w:val="cs-CZ"/>
              </w:rPr>
              <w:t xml:space="preserve"> Euraxess</w:t>
            </w:r>
            <w:r w:rsidRPr="00EC4F3B">
              <w:rPr>
                <w:b/>
                <w:lang w:val="cs-CZ"/>
              </w:rPr>
              <w:t>u.</w:t>
            </w:r>
          </w:p>
          <w:p w14:paraId="3CF06BAC" w14:textId="77777777" w:rsidR="005C0956" w:rsidRPr="00EC4F3B" w:rsidRDefault="005C0956" w:rsidP="00001C19">
            <w:pPr>
              <w:spacing w:after="0" w:line="240" w:lineRule="auto"/>
              <w:jc w:val="both"/>
              <w:rPr>
                <w:b/>
                <w:lang w:val="cs-CZ"/>
              </w:rPr>
            </w:pPr>
          </w:p>
          <w:p w14:paraId="6E5F7B20" w14:textId="18BF7550" w:rsidR="005C0956" w:rsidRPr="00EC4F3B" w:rsidRDefault="00EF36FE" w:rsidP="00001C19">
            <w:pPr>
              <w:spacing w:after="0" w:line="240" w:lineRule="auto"/>
              <w:jc w:val="both"/>
              <w:rPr>
                <w:lang w:val="cs-CZ"/>
              </w:rPr>
            </w:pPr>
            <w:r w:rsidRPr="00EC4F3B">
              <w:rPr>
                <w:lang w:val="cs-CZ"/>
              </w:rPr>
              <w:t>Všechny otevřené pozice pro vědecké pracovníky budou inzerovány na portálu Euraxess.</w:t>
            </w:r>
          </w:p>
          <w:p w14:paraId="60036C11" w14:textId="77777777" w:rsidR="005C0956" w:rsidRPr="00EC4F3B" w:rsidRDefault="005C0956" w:rsidP="00001C19">
            <w:pPr>
              <w:spacing w:after="0" w:line="240" w:lineRule="auto"/>
              <w:jc w:val="both"/>
              <w:rPr>
                <w:lang w:val="cs-CZ"/>
              </w:rPr>
            </w:pPr>
          </w:p>
          <w:p w14:paraId="7E55A250" w14:textId="77777777" w:rsidR="005C0956" w:rsidRPr="00EC4F3B" w:rsidRDefault="005C0956" w:rsidP="00001C19">
            <w:pPr>
              <w:spacing w:after="0" w:line="240" w:lineRule="auto"/>
              <w:jc w:val="both"/>
              <w:rPr>
                <w:lang w:val="cs-CZ"/>
              </w:rPr>
            </w:pPr>
          </w:p>
          <w:p w14:paraId="3640C49C" w14:textId="77777777" w:rsidR="005C0956" w:rsidRPr="00EC4F3B" w:rsidRDefault="005C0956" w:rsidP="00001C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5DB9" w14:textId="0E8A1A7A" w:rsidR="005C0956" w:rsidRPr="00EC4F3B" w:rsidRDefault="005C0956" w:rsidP="0000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GA</w:t>
            </w:r>
            <w:r w:rsidR="001918A7"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P Principy</w:t>
            </w: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(+/-)  </w:t>
            </w:r>
          </w:p>
          <w:p w14:paraId="718E9B1C" w14:textId="4B951205" w:rsidR="001A60DF" w:rsidRPr="00EC4F3B" w:rsidRDefault="001A60DF" w:rsidP="001A60DF">
            <w:pPr>
              <w:pStyle w:val="TableParagraph"/>
              <w:spacing w:before="78"/>
              <w:ind w:left="0" w:right="52"/>
              <w:rPr>
                <w:rFonts w:asciiTheme="minorHAnsi" w:hAnsiTheme="minorHAnsi" w:cstheme="minorHAnsi"/>
                <w:sz w:val="21"/>
                <w:szCs w:val="21"/>
                <w:lang w:val="cs-CZ"/>
              </w:rPr>
            </w:pPr>
            <w:r w:rsidRPr="00EC4F3B">
              <w:rPr>
                <w:rFonts w:asciiTheme="minorHAnsi" w:hAnsiTheme="minorHAnsi" w:cstheme="minorHAnsi"/>
                <w:sz w:val="21"/>
                <w:szCs w:val="21"/>
                <w:lang w:val="cs-CZ"/>
              </w:rPr>
              <w:t xml:space="preserve">30. Přístup ke kariérnímu poradenství </w:t>
            </w:r>
            <w:r w:rsidRPr="00EC4F3B">
              <w:rPr>
                <w:bCs/>
                <w:lang w:val="cs-CZ"/>
              </w:rPr>
              <w:t>(</w:t>
            </w:r>
            <w:r w:rsidRPr="00EC4F3B">
              <w:rPr>
                <w:sz w:val="20"/>
                <w:szCs w:val="20"/>
                <w:lang w:val="cs-CZ"/>
              </w:rPr>
              <w:t>+/-)</w:t>
            </w:r>
          </w:p>
          <w:p w14:paraId="5126657E" w14:textId="49106771" w:rsidR="001A60DF" w:rsidRPr="00EC4F3B" w:rsidRDefault="001A60DF" w:rsidP="0000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  <w:p w14:paraId="7AEF863A" w14:textId="77777777" w:rsidR="005C0956" w:rsidRPr="00EC4F3B" w:rsidRDefault="005C0956" w:rsidP="001A60DF">
            <w:pPr>
              <w:spacing w:after="0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615F" w14:textId="02FC99B2" w:rsidR="005C0956" w:rsidRPr="00EC4F3B" w:rsidRDefault="00B61C2D" w:rsidP="0000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Termín</w:t>
            </w:r>
          </w:p>
          <w:p w14:paraId="3B39EB60" w14:textId="77777777" w:rsidR="002045F8" w:rsidRPr="00EC4F3B" w:rsidRDefault="005C0956" w:rsidP="0020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lang w:val="cs-CZ"/>
              </w:rPr>
              <w:t xml:space="preserve">2Q/2021 start, </w:t>
            </w:r>
            <w:r w:rsidR="002045F8" w:rsidRPr="00EC4F3B">
              <w:rPr>
                <w:rFonts w:ascii="Calibri" w:eastAsia="Times New Roman" w:hAnsi="Calibri" w:cs="Calibri"/>
                <w:lang w:val="cs-CZ"/>
              </w:rPr>
              <w:t>začátek, časově neohraničeno</w:t>
            </w:r>
          </w:p>
          <w:p w14:paraId="008D4E8F" w14:textId="153B80AF" w:rsidR="005C0956" w:rsidRPr="00EC4F3B" w:rsidRDefault="005C0956" w:rsidP="00001C19">
            <w:pPr>
              <w:rPr>
                <w:rFonts w:ascii="Calibri" w:eastAsia="Times New Roman" w:hAnsi="Calibri" w:cs="Calibri"/>
                <w:lang w:val="cs-CZ"/>
              </w:rPr>
            </w:pPr>
          </w:p>
        </w:tc>
      </w:tr>
      <w:tr w:rsidR="005C0956" w:rsidRPr="00EC4F3B" w14:paraId="4E1BDDA0" w14:textId="77777777" w:rsidTr="00001C19">
        <w:trPr>
          <w:trHeight w:val="919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FF789" w14:textId="77777777" w:rsidR="005C0956" w:rsidRPr="00EC4F3B" w:rsidRDefault="005C0956" w:rsidP="0000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3141" w14:textId="77777777" w:rsidR="00F1720A" w:rsidRPr="00EC4F3B" w:rsidRDefault="00F1720A" w:rsidP="00F1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Zodpovědnost za realizaci</w:t>
            </w:r>
          </w:p>
          <w:p w14:paraId="791BA674" w14:textId="2B14E004" w:rsidR="005C0956" w:rsidRPr="00EC4F3B" w:rsidRDefault="00B61C2D" w:rsidP="00B61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Personální úsek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F8F4" w14:textId="77777777" w:rsidR="00FA11F9" w:rsidRPr="00EC4F3B" w:rsidRDefault="00FA11F9" w:rsidP="00FA1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b/>
                <w:color w:val="000000"/>
                <w:lang w:val="cs-CZ"/>
              </w:rPr>
              <w:t>Ukazatele</w:t>
            </w:r>
          </w:p>
          <w:p w14:paraId="4281A9F4" w14:textId="4F43CC89" w:rsidR="00FA11F9" w:rsidRPr="00EC4F3B" w:rsidRDefault="00B61C2D" w:rsidP="0000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EC4F3B">
              <w:rPr>
                <w:rFonts w:ascii="Calibri" w:eastAsia="Times New Roman" w:hAnsi="Calibri" w:cs="Calibri"/>
                <w:color w:val="000000"/>
                <w:lang w:val="cs-CZ"/>
              </w:rPr>
              <w:t>Všechny otevřené pozice inzerované na Euraxessu.</w:t>
            </w:r>
          </w:p>
          <w:p w14:paraId="1A1260E4" w14:textId="77777777" w:rsidR="005C0956" w:rsidRPr="00EC4F3B" w:rsidRDefault="005C0956" w:rsidP="00B61C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</w:tbl>
    <w:p w14:paraId="1E1211F4" w14:textId="77777777" w:rsidR="005C0956" w:rsidRPr="00EC4F3B" w:rsidRDefault="005C0956" w:rsidP="005C0956">
      <w:pPr>
        <w:rPr>
          <w:lang w:val="cs-CZ"/>
        </w:rPr>
      </w:pPr>
    </w:p>
    <w:p w14:paraId="3647746A" w14:textId="77777777" w:rsidR="005C0956" w:rsidRPr="00EC4F3B" w:rsidRDefault="005C0956" w:rsidP="00D16F76">
      <w:pPr>
        <w:rPr>
          <w:lang w:val="cs-CZ"/>
        </w:rPr>
      </w:pPr>
    </w:p>
    <w:sectPr w:rsidR="005C0956" w:rsidRPr="00EC4F3B" w:rsidSect="004850C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24C6" w16cex:dateUtc="2021-03-30T20:29:00Z"/>
  <w16cex:commentExtensible w16cex:durableId="240E252B" w16cex:dateUtc="2021-03-30T20:31:00Z"/>
  <w16cex:commentExtensible w16cex:durableId="240E2657" w16cex:dateUtc="2021-03-30T20:36:00Z"/>
  <w16cex:commentExtensible w16cex:durableId="240E2800" w16cex:dateUtc="2021-03-30T20:43:00Z"/>
  <w16cex:commentExtensible w16cex:durableId="240E2AEF" w16cex:dateUtc="2021-03-30T2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37FDFC" w16cid:durableId="240E2460"/>
  <w16cid:commentId w16cid:paraId="3E48AA89" w16cid:durableId="240E2461"/>
  <w16cid:commentId w16cid:paraId="04DDD5F5" w16cid:durableId="240E24C6"/>
  <w16cid:commentId w16cid:paraId="5E9C72F0" w16cid:durableId="240E2462"/>
  <w16cid:commentId w16cid:paraId="37140C3B" w16cid:durableId="240E2463"/>
  <w16cid:commentId w16cid:paraId="1F5E2E17" w16cid:durableId="240E252B"/>
  <w16cid:commentId w16cid:paraId="769CD4EC" w16cid:durableId="240E2464"/>
  <w16cid:commentId w16cid:paraId="0EE6DEC1" w16cid:durableId="240E2465"/>
  <w16cid:commentId w16cid:paraId="7B976CF2" w16cid:durableId="240E2657"/>
  <w16cid:commentId w16cid:paraId="25460468" w16cid:durableId="240E2466"/>
  <w16cid:commentId w16cid:paraId="59B78584" w16cid:durableId="240E2800"/>
  <w16cid:commentId w16cid:paraId="2299AC59" w16cid:durableId="240E2467"/>
  <w16cid:commentId w16cid:paraId="17D09C89" w16cid:durableId="240E2468"/>
  <w16cid:commentId w16cid:paraId="6E20D432" w16cid:durableId="240E2469"/>
  <w16cid:commentId w16cid:paraId="31634B65" w16cid:durableId="240E246A"/>
  <w16cid:commentId w16cid:paraId="3C4D0D70" w16cid:durableId="240E246B"/>
  <w16cid:commentId w16cid:paraId="07B5F5FA" w16cid:durableId="240E246C"/>
  <w16cid:commentId w16cid:paraId="157D3064" w16cid:durableId="240E2A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CE33A" w14:textId="77777777" w:rsidR="003164CE" w:rsidRDefault="003164CE" w:rsidP="00D04CBA">
      <w:pPr>
        <w:spacing w:after="0" w:line="240" w:lineRule="auto"/>
      </w:pPr>
      <w:r>
        <w:separator/>
      </w:r>
    </w:p>
  </w:endnote>
  <w:endnote w:type="continuationSeparator" w:id="0">
    <w:p w14:paraId="28CFDB04" w14:textId="77777777" w:rsidR="003164CE" w:rsidRDefault="003164CE" w:rsidP="00D0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9E8F" w14:textId="4E21F1FF" w:rsidR="009A2FE7" w:rsidRPr="00B4656B" w:rsidRDefault="009A2FE7" w:rsidP="00B61C2D">
    <w:pPr>
      <w:pStyle w:val="Zpat"/>
      <w:ind w:firstLine="708"/>
    </w:pPr>
    <w:r>
      <w:t xml:space="preserve">          </w:t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cs-CZ" w:eastAsia="cs-CZ"/>
      </w:rPr>
      <w:drawing>
        <wp:inline distT="0" distB="0" distL="0" distR="0" wp14:anchorId="5CDDF050" wp14:editId="4958868E">
          <wp:extent cx="768350" cy="7683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7C9B0" w14:textId="77777777" w:rsidR="003164CE" w:rsidRDefault="003164CE" w:rsidP="00D04CBA">
      <w:pPr>
        <w:spacing w:after="0" w:line="240" w:lineRule="auto"/>
      </w:pPr>
      <w:r>
        <w:separator/>
      </w:r>
    </w:p>
  </w:footnote>
  <w:footnote w:type="continuationSeparator" w:id="0">
    <w:p w14:paraId="6DB2492C" w14:textId="77777777" w:rsidR="003164CE" w:rsidRDefault="003164CE" w:rsidP="00D0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9276D" w14:textId="49858020" w:rsidR="009A2FE7" w:rsidRDefault="009A2FE7">
    <w:pPr>
      <w:pStyle w:val="Zhlav"/>
    </w:pPr>
    <w:r>
      <w:rPr>
        <w:noProof/>
        <w:lang w:val="cs-CZ" w:eastAsia="cs-CZ"/>
      </w:rPr>
      <w:t xml:space="preserve">                                                                       </w:t>
    </w:r>
    <w:r>
      <w:rPr>
        <w:noProof/>
        <w:lang w:val="cs-CZ" w:eastAsia="cs-CZ"/>
      </w:rPr>
      <w:drawing>
        <wp:inline distT="0" distB="0" distL="0" distR="0" wp14:anchorId="6615FF38" wp14:editId="765D9B08">
          <wp:extent cx="4751691" cy="105491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barva_eng-1536x3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1691" cy="1054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788"/>
    <w:multiLevelType w:val="hybridMultilevel"/>
    <w:tmpl w:val="741E3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9B9"/>
    <w:multiLevelType w:val="hybridMultilevel"/>
    <w:tmpl w:val="6262E232"/>
    <w:lvl w:ilvl="0" w:tplc="EFDED65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90731"/>
    <w:multiLevelType w:val="hybridMultilevel"/>
    <w:tmpl w:val="F3628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31781"/>
    <w:multiLevelType w:val="hybridMultilevel"/>
    <w:tmpl w:val="46D81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3692"/>
    <w:multiLevelType w:val="hybridMultilevel"/>
    <w:tmpl w:val="727694BC"/>
    <w:lvl w:ilvl="0" w:tplc="5A8C0B4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27FBA"/>
    <w:multiLevelType w:val="hybridMultilevel"/>
    <w:tmpl w:val="46D81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111BF"/>
    <w:multiLevelType w:val="hybridMultilevel"/>
    <w:tmpl w:val="6994BF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56526"/>
    <w:multiLevelType w:val="hybridMultilevel"/>
    <w:tmpl w:val="3FE21F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D0245"/>
    <w:multiLevelType w:val="hybridMultilevel"/>
    <w:tmpl w:val="A3C404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16F98"/>
    <w:multiLevelType w:val="hybridMultilevel"/>
    <w:tmpl w:val="BE92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C5"/>
    <w:rsid w:val="00001C19"/>
    <w:rsid w:val="00017BD2"/>
    <w:rsid w:val="00020659"/>
    <w:rsid w:val="0003106E"/>
    <w:rsid w:val="00036EA1"/>
    <w:rsid w:val="00037D18"/>
    <w:rsid w:val="00046AB1"/>
    <w:rsid w:val="00055CE1"/>
    <w:rsid w:val="0005613E"/>
    <w:rsid w:val="00071AB2"/>
    <w:rsid w:val="0007218C"/>
    <w:rsid w:val="000721A0"/>
    <w:rsid w:val="00091760"/>
    <w:rsid w:val="000B0617"/>
    <w:rsid w:val="000B09D2"/>
    <w:rsid w:val="000C270A"/>
    <w:rsid w:val="000D435B"/>
    <w:rsid w:val="000E2590"/>
    <w:rsid w:val="00115D81"/>
    <w:rsid w:val="001342B6"/>
    <w:rsid w:val="001355AC"/>
    <w:rsid w:val="00135FED"/>
    <w:rsid w:val="001756D5"/>
    <w:rsid w:val="001918A7"/>
    <w:rsid w:val="001A60DF"/>
    <w:rsid w:val="001B129A"/>
    <w:rsid w:val="001B1362"/>
    <w:rsid w:val="001E0620"/>
    <w:rsid w:val="001E6739"/>
    <w:rsid w:val="001F397F"/>
    <w:rsid w:val="001F43D6"/>
    <w:rsid w:val="002045F8"/>
    <w:rsid w:val="0021633A"/>
    <w:rsid w:val="002307B2"/>
    <w:rsid w:val="00230D9E"/>
    <w:rsid w:val="00231561"/>
    <w:rsid w:val="00240931"/>
    <w:rsid w:val="00244020"/>
    <w:rsid w:val="0028350A"/>
    <w:rsid w:val="00297E31"/>
    <w:rsid w:val="002A5987"/>
    <w:rsid w:val="002A7C73"/>
    <w:rsid w:val="002C0D7D"/>
    <w:rsid w:val="002E398E"/>
    <w:rsid w:val="002E4CEE"/>
    <w:rsid w:val="002E5DC7"/>
    <w:rsid w:val="002F36C9"/>
    <w:rsid w:val="002F3E30"/>
    <w:rsid w:val="002F6F16"/>
    <w:rsid w:val="003164CE"/>
    <w:rsid w:val="00321A82"/>
    <w:rsid w:val="00326307"/>
    <w:rsid w:val="00326F50"/>
    <w:rsid w:val="0035659C"/>
    <w:rsid w:val="003575CB"/>
    <w:rsid w:val="00366BB4"/>
    <w:rsid w:val="003D2850"/>
    <w:rsid w:val="003E0040"/>
    <w:rsid w:val="003F1B83"/>
    <w:rsid w:val="004263AB"/>
    <w:rsid w:val="004469CF"/>
    <w:rsid w:val="00457135"/>
    <w:rsid w:val="00472A3E"/>
    <w:rsid w:val="004850C5"/>
    <w:rsid w:val="004A211F"/>
    <w:rsid w:val="004A63D3"/>
    <w:rsid w:val="004B2312"/>
    <w:rsid w:val="004D3133"/>
    <w:rsid w:val="004D4E05"/>
    <w:rsid w:val="0050494B"/>
    <w:rsid w:val="005152F9"/>
    <w:rsid w:val="00515B04"/>
    <w:rsid w:val="00526E59"/>
    <w:rsid w:val="00531FC7"/>
    <w:rsid w:val="0057447A"/>
    <w:rsid w:val="00590D19"/>
    <w:rsid w:val="005A2BCA"/>
    <w:rsid w:val="005A31BC"/>
    <w:rsid w:val="005A793C"/>
    <w:rsid w:val="005B36CA"/>
    <w:rsid w:val="005C0956"/>
    <w:rsid w:val="005D0A98"/>
    <w:rsid w:val="005D6CEB"/>
    <w:rsid w:val="005E6CF7"/>
    <w:rsid w:val="005E6F05"/>
    <w:rsid w:val="005F218A"/>
    <w:rsid w:val="00606441"/>
    <w:rsid w:val="006066F2"/>
    <w:rsid w:val="0061571A"/>
    <w:rsid w:val="0063179B"/>
    <w:rsid w:val="00682F32"/>
    <w:rsid w:val="00684805"/>
    <w:rsid w:val="00690B96"/>
    <w:rsid w:val="006B7EDA"/>
    <w:rsid w:val="006D52F3"/>
    <w:rsid w:val="006E4298"/>
    <w:rsid w:val="00723EC5"/>
    <w:rsid w:val="00732CAF"/>
    <w:rsid w:val="00743179"/>
    <w:rsid w:val="007878E8"/>
    <w:rsid w:val="007920F7"/>
    <w:rsid w:val="007A73D7"/>
    <w:rsid w:val="007B060A"/>
    <w:rsid w:val="007B5C7A"/>
    <w:rsid w:val="007D0878"/>
    <w:rsid w:val="007E0266"/>
    <w:rsid w:val="00811819"/>
    <w:rsid w:val="00815380"/>
    <w:rsid w:val="00825B08"/>
    <w:rsid w:val="00843A10"/>
    <w:rsid w:val="00871F32"/>
    <w:rsid w:val="00876DF6"/>
    <w:rsid w:val="0088126F"/>
    <w:rsid w:val="00884AB8"/>
    <w:rsid w:val="00893726"/>
    <w:rsid w:val="008B4392"/>
    <w:rsid w:val="008F31C0"/>
    <w:rsid w:val="00903E6F"/>
    <w:rsid w:val="0091102B"/>
    <w:rsid w:val="00925AED"/>
    <w:rsid w:val="00945DB3"/>
    <w:rsid w:val="00967907"/>
    <w:rsid w:val="0097736C"/>
    <w:rsid w:val="00977A70"/>
    <w:rsid w:val="00993268"/>
    <w:rsid w:val="0099681F"/>
    <w:rsid w:val="009A2FE7"/>
    <w:rsid w:val="009B2471"/>
    <w:rsid w:val="009B76EF"/>
    <w:rsid w:val="009F42EE"/>
    <w:rsid w:val="00A20372"/>
    <w:rsid w:val="00A20D6D"/>
    <w:rsid w:val="00A417C7"/>
    <w:rsid w:val="00A427CD"/>
    <w:rsid w:val="00A46DE0"/>
    <w:rsid w:val="00A53182"/>
    <w:rsid w:val="00A614E5"/>
    <w:rsid w:val="00A63C27"/>
    <w:rsid w:val="00A7298C"/>
    <w:rsid w:val="00A81BDA"/>
    <w:rsid w:val="00A85A00"/>
    <w:rsid w:val="00A87DA0"/>
    <w:rsid w:val="00A909C8"/>
    <w:rsid w:val="00A90B21"/>
    <w:rsid w:val="00A90D97"/>
    <w:rsid w:val="00AA41C7"/>
    <w:rsid w:val="00AB133A"/>
    <w:rsid w:val="00AB318E"/>
    <w:rsid w:val="00AD1F3F"/>
    <w:rsid w:val="00AD647E"/>
    <w:rsid w:val="00AE05BF"/>
    <w:rsid w:val="00B020FE"/>
    <w:rsid w:val="00B075AA"/>
    <w:rsid w:val="00B07AAC"/>
    <w:rsid w:val="00B43B87"/>
    <w:rsid w:val="00B4656B"/>
    <w:rsid w:val="00B508E6"/>
    <w:rsid w:val="00B61C2D"/>
    <w:rsid w:val="00B81488"/>
    <w:rsid w:val="00BA4424"/>
    <w:rsid w:val="00BC01FD"/>
    <w:rsid w:val="00BC3375"/>
    <w:rsid w:val="00BC4DC5"/>
    <w:rsid w:val="00BD5CEF"/>
    <w:rsid w:val="00BE49EB"/>
    <w:rsid w:val="00C029D0"/>
    <w:rsid w:val="00C06C15"/>
    <w:rsid w:val="00C06D87"/>
    <w:rsid w:val="00C14A55"/>
    <w:rsid w:val="00C209E6"/>
    <w:rsid w:val="00C44764"/>
    <w:rsid w:val="00C504CF"/>
    <w:rsid w:val="00C65FCC"/>
    <w:rsid w:val="00C67218"/>
    <w:rsid w:val="00C8593C"/>
    <w:rsid w:val="00CA6271"/>
    <w:rsid w:val="00CB3C88"/>
    <w:rsid w:val="00CB566E"/>
    <w:rsid w:val="00CD01E8"/>
    <w:rsid w:val="00CF0252"/>
    <w:rsid w:val="00D04CBA"/>
    <w:rsid w:val="00D156B5"/>
    <w:rsid w:val="00D168AE"/>
    <w:rsid w:val="00D16F76"/>
    <w:rsid w:val="00D25286"/>
    <w:rsid w:val="00D358D0"/>
    <w:rsid w:val="00D374FC"/>
    <w:rsid w:val="00D430F5"/>
    <w:rsid w:val="00D549CD"/>
    <w:rsid w:val="00D63A9D"/>
    <w:rsid w:val="00D801E8"/>
    <w:rsid w:val="00D815D8"/>
    <w:rsid w:val="00D90712"/>
    <w:rsid w:val="00D96912"/>
    <w:rsid w:val="00D970A4"/>
    <w:rsid w:val="00DB436F"/>
    <w:rsid w:val="00DB512B"/>
    <w:rsid w:val="00DB7374"/>
    <w:rsid w:val="00DC0E6E"/>
    <w:rsid w:val="00DD4F2B"/>
    <w:rsid w:val="00DD5281"/>
    <w:rsid w:val="00DD7490"/>
    <w:rsid w:val="00DE2997"/>
    <w:rsid w:val="00DE486B"/>
    <w:rsid w:val="00DF0566"/>
    <w:rsid w:val="00DF432F"/>
    <w:rsid w:val="00E1019D"/>
    <w:rsid w:val="00E22772"/>
    <w:rsid w:val="00E27D1D"/>
    <w:rsid w:val="00E6522C"/>
    <w:rsid w:val="00E66396"/>
    <w:rsid w:val="00E760B7"/>
    <w:rsid w:val="00E804C8"/>
    <w:rsid w:val="00EA1605"/>
    <w:rsid w:val="00EA2F6E"/>
    <w:rsid w:val="00EB62B8"/>
    <w:rsid w:val="00EC4F3B"/>
    <w:rsid w:val="00EF18B4"/>
    <w:rsid w:val="00EF1F64"/>
    <w:rsid w:val="00EF36FE"/>
    <w:rsid w:val="00F11311"/>
    <w:rsid w:val="00F1720A"/>
    <w:rsid w:val="00F226FF"/>
    <w:rsid w:val="00F24BC1"/>
    <w:rsid w:val="00F32959"/>
    <w:rsid w:val="00F51770"/>
    <w:rsid w:val="00F85611"/>
    <w:rsid w:val="00F972C1"/>
    <w:rsid w:val="00F97A1A"/>
    <w:rsid w:val="00FA07F9"/>
    <w:rsid w:val="00FA11F9"/>
    <w:rsid w:val="00FA6FF5"/>
    <w:rsid w:val="00FB0905"/>
    <w:rsid w:val="00FB2E69"/>
    <w:rsid w:val="00FB7FC2"/>
    <w:rsid w:val="00FC10B9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3D643"/>
  <w15:docId w15:val="{8154C804-F144-4201-9282-49CB572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CEE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B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CBA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D0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CBA"/>
    <w:rPr>
      <w:lang w:val="en-US"/>
    </w:rPr>
  </w:style>
  <w:style w:type="paragraph" w:styleId="Zkladntext">
    <w:name w:val="Body Text"/>
    <w:basedOn w:val="Normln"/>
    <w:link w:val="ZkladntextChar"/>
    <w:semiHidden/>
    <w:unhideWhenUsed/>
    <w:rsid w:val="006D52F3"/>
    <w:pPr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6D52F3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C19"/>
    <w:rPr>
      <w:rFonts w:ascii="Segoe U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25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A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AED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AED"/>
    <w:rPr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925AED"/>
    <w:pPr>
      <w:spacing w:after="0" w:line="240" w:lineRule="auto"/>
    </w:pPr>
    <w:rPr>
      <w:lang w:val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5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5FC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TableParagraph">
    <w:name w:val="Table Paragraph"/>
    <w:basedOn w:val="Normln"/>
    <w:uiPriority w:val="1"/>
    <w:qFormat/>
    <w:rsid w:val="00DB7374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E88D8-AB3F-4B70-8B51-837D9E37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2637</Words>
  <Characters>15560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UZFG</Company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Sedlakova</dc:creator>
  <cp:keywords/>
  <dc:description/>
  <cp:lastModifiedBy>Linda Sedlakova</cp:lastModifiedBy>
  <cp:revision>2</cp:revision>
  <cp:lastPrinted>2021-04-01T15:50:00Z</cp:lastPrinted>
  <dcterms:created xsi:type="dcterms:W3CDTF">2021-06-04T12:04:00Z</dcterms:created>
  <dcterms:modified xsi:type="dcterms:W3CDTF">2021-06-04T12:04:00Z</dcterms:modified>
</cp:coreProperties>
</file>