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C573" w14:textId="0162EA41" w:rsidR="00FC24ED" w:rsidRDefault="009A749A" w:rsidP="0080270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A749A">
        <w:rPr>
          <w:rFonts w:ascii="Arial" w:hAnsi="Arial" w:cs="Arial"/>
          <w:b/>
          <w:bCs/>
          <w:sz w:val="28"/>
          <w:szCs w:val="28"/>
        </w:rPr>
        <w:t>Pražská MHD je bezpečná, není zdrojem nákazy covid-19, potvrdila studie Akademie věd ČR</w:t>
      </w:r>
    </w:p>
    <w:p w14:paraId="10DFA9F5" w14:textId="77777777" w:rsidR="005F1DC9" w:rsidRDefault="005F1DC9" w:rsidP="008027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C7A50E" w14:textId="713CFA8F" w:rsidR="000B0A62" w:rsidRPr="009A749A" w:rsidRDefault="009A749A" w:rsidP="00926698">
      <w:pPr>
        <w:spacing w:line="360" w:lineRule="auto"/>
        <w:jc w:val="both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  <w:r w:rsidRPr="00812077">
        <w:rPr>
          <w:rFonts w:ascii="Arial" w:hAnsi="Arial" w:cs="Arial"/>
          <w:b/>
          <w:spacing w:val="2"/>
          <w:sz w:val="21"/>
          <w:szCs w:val="21"/>
        </w:rPr>
        <w:t>Praha, 10. června 2021 – Velkoplošné testování pražské MHD na covid-19, které inicioval</w:t>
      </w:r>
      <w:r w:rsidRPr="009A749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Dopravní podnik hl. m. Prahy (DPP) a letos v dubnu provedli vědci Fyzikálního ústavu Akademie věd ČR, neprokázalo přítomnost infekčního viru SARS-CoV-2 způsobujícího onemocnění covid-19. Analýza celkem 558 vzorků z autobusů, tramvají, vlakových souprav, nástupišť a vestibulů metra potvrdila předpoklad, že při dodržování základních hygienických pravidel je pražská MHD bezpečná a není žádným zdrojem nákazy covid-19.</w:t>
      </w:r>
    </w:p>
    <w:p w14:paraId="622DB2C4" w14:textId="77777777" w:rsidR="009A749A" w:rsidRDefault="009A749A" w:rsidP="009266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B2266D" w14:textId="604D9378" w:rsidR="009A749A" w:rsidRPr="009A749A" w:rsidRDefault="009A749A" w:rsidP="009A74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9A749A">
        <w:rPr>
          <w:rFonts w:ascii="Arial" w:hAnsi="Arial" w:cs="Arial"/>
          <w:sz w:val="21"/>
          <w:szCs w:val="21"/>
        </w:rPr>
        <w:t xml:space="preserve">Výzkum, na němž spolupracovali také vědci </w:t>
      </w:r>
      <w:r w:rsidR="009428F0">
        <w:rPr>
          <w:rFonts w:ascii="Arial" w:hAnsi="Arial" w:cs="Arial"/>
          <w:sz w:val="21"/>
          <w:szCs w:val="21"/>
        </w:rPr>
        <w:t xml:space="preserve">z </w:t>
      </w:r>
      <w:r w:rsidRPr="009A749A">
        <w:rPr>
          <w:rFonts w:ascii="Arial" w:hAnsi="Arial" w:cs="Arial"/>
          <w:sz w:val="21"/>
          <w:szCs w:val="21"/>
        </w:rPr>
        <w:t xml:space="preserve">Biologického centra AV ČR a Přírodovědecké fakulty Jihočeské univerzity, byl první svého druhu v České republice. Zahrnoval celkem 588 vzorků. Stěrem </w:t>
      </w:r>
      <w:r w:rsidR="001A1D78">
        <w:rPr>
          <w:rFonts w:ascii="Arial" w:hAnsi="Arial" w:cs="Arial"/>
          <w:sz w:val="21"/>
          <w:szCs w:val="21"/>
        </w:rPr>
        <w:br/>
      </w:r>
      <w:r w:rsidRPr="009A749A">
        <w:rPr>
          <w:rFonts w:ascii="Arial" w:hAnsi="Arial" w:cs="Arial"/>
          <w:sz w:val="21"/>
          <w:szCs w:val="21"/>
        </w:rPr>
        <w:t xml:space="preserve">z exponovaných povrchů výzkumníci získali 154 vzorků z interiérů autobusů, 160 z tramvají, 126 </w:t>
      </w:r>
      <w:r w:rsidR="001A1D78">
        <w:rPr>
          <w:rFonts w:ascii="Arial" w:hAnsi="Arial" w:cs="Arial"/>
          <w:sz w:val="21"/>
          <w:szCs w:val="21"/>
        </w:rPr>
        <w:br/>
      </w:r>
      <w:r w:rsidRPr="009A749A">
        <w:rPr>
          <w:rFonts w:ascii="Arial" w:hAnsi="Arial" w:cs="Arial"/>
          <w:sz w:val="21"/>
          <w:szCs w:val="21"/>
        </w:rPr>
        <w:t xml:space="preserve">z vlakových souprav a 52 z nástupišť a vestibulů metra. Dalších 66 vzorků odebrali přímo ze vzduchu jeho nasáváním speciální aparaturou ve vnitřních prostorech dopravních prostředků a stanic metra. Sběr vzorků se uskutečnil v době vrcholící jarní vlny pandemie covid-19 </w:t>
      </w:r>
      <w:r w:rsidR="00E966C3">
        <w:rPr>
          <w:rFonts w:ascii="Arial" w:hAnsi="Arial" w:cs="Arial"/>
          <w:sz w:val="21"/>
          <w:szCs w:val="21"/>
        </w:rPr>
        <w:t xml:space="preserve">na začátku </w:t>
      </w:r>
      <w:r w:rsidRPr="009A749A">
        <w:rPr>
          <w:rFonts w:ascii="Arial" w:hAnsi="Arial" w:cs="Arial"/>
          <w:sz w:val="21"/>
          <w:szCs w:val="21"/>
        </w:rPr>
        <w:t>letošního dubna, vždy po zatažení vozidel z provozu do depa nebo na obratištích či terminálech, tj. před jejich úklidem. Pouze nasávání vzduchu probíhalo za plného provozu s cestujícími.</w:t>
      </w:r>
    </w:p>
    <w:p w14:paraId="4078E1F0" w14:textId="77777777" w:rsidR="009A749A" w:rsidRPr="009A749A" w:rsidRDefault="009A749A" w:rsidP="009A74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3D94B1" w14:textId="40D1AA54" w:rsidR="00215E00" w:rsidRDefault="009A749A" w:rsidP="009A74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49A">
        <w:rPr>
          <w:rFonts w:ascii="Arial" w:hAnsi="Arial" w:cs="Arial"/>
          <w:sz w:val="21"/>
          <w:szCs w:val="21"/>
        </w:rPr>
        <w:t xml:space="preserve">Inspirací pro tento výzkum se stala obdobná studie, kterou loni na podzim a letos na jaře provedl Dopravní podnik v Londýně (Transport </w:t>
      </w:r>
      <w:proofErr w:type="spellStart"/>
      <w:r w:rsidRPr="009A749A">
        <w:rPr>
          <w:rFonts w:ascii="Arial" w:hAnsi="Arial" w:cs="Arial"/>
          <w:sz w:val="21"/>
          <w:szCs w:val="21"/>
        </w:rPr>
        <w:t>for</w:t>
      </w:r>
      <w:proofErr w:type="spellEnd"/>
      <w:r w:rsidRPr="009A749A">
        <w:rPr>
          <w:rFonts w:ascii="Arial" w:hAnsi="Arial" w:cs="Arial"/>
          <w:sz w:val="21"/>
          <w:szCs w:val="21"/>
        </w:rPr>
        <w:t xml:space="preserve"> London). Současný výzkum DPP a Akademie věd</w:t>
      </w:r>
      <w:r w:rsidR="00794715">
        <w:rPr>
          <w:rFonts w:ascii="Arial" w:hAnsi="Arial" w:cs="Arial"/>
          <w:sz w:val="21"/>
          <w:szCs w:val="21"/>
        </w:rPr>
        <w:t xml:space="preserve"> ČR</w:t>
      </w:r>
      <w:r w:rsidRPr="009A749A">
        <w:rPr>
          <w:rFonts w:ascii="Arial" w:hAnsi="Arial" w:cs="Arial"/>
          <w:sz w:val="21"/>
          <w:szCs w:val="21"/>
        </w:rPr>
        <w:t xml:space="preserve"> je ale rozsáhlejší, s větším počtem odebraných vzorků a zahrnuje všechny hlavní druhy MHD.</w:t>
      </w:r>
    </w:p>
    <w:p w14:paraId="0772B487" w14:textId="56844687" w:rsidR="009A749A" w:rsidRDefault="009A749A" w:rsidP="009A74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BA5A8" w14:textId="42BB8C44" w:rsidR="009A749A" w:rsidRPr="00702BFE" w:rsidRDefault="002135C4" w:rsidP="009A749A">
      <w:pPr>
        <w:spacing w:line="360" w:lineRule="auto"/>
        <w:jc w:val="both"/>
        <w:rPr>
          <w:rFonts w:ascii="Arial" w:hAnsi="Arial" w:cs="Arial"/>
          <w:b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pacing w:val="2"/>
          <w:sz w:val="21"/>
          <w:szCs w:val="21"/>
          <w:shd w:val="clear" w:color="auto" w:fill="FFFFFF"/>
        </w:rPr>
        <w:t>100 % vzorků neinfekčních</w:t>
      </w:r>
    </w:p>
    <w:p w14:paraId="378DCE79" w14:textId="25C0D174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Každý vzorek, který vědci odebrali, bez dalších úprav analyzovali novou, unikátní metodou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biosenzoru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A-QCM, kterou vyvinuli odborníci 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z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Fyzikálního ústavu AV ČR. Následně byl každý vzorek ještě analyzován v laboratořích Přírodovědecké fakulty Jihočeské univerzity v Českých Budějovicích standardní referenční metodou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qRT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-PCR testu. První metoda pracuje na principu detekce virového proteinu, PCR test 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zachybuje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genetick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ou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informac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viru. </w:t>
      </w:r>
    </w:p>
    <w:p w14:paraId="5636CD26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0F6918CD" w14:textId="7130144C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Ze všech 558 vzorků pouze 6, tj. 1 %, vykazovalo stopy biologického materiálu viru. Proto byly dále podrobeny v laboratořích Přírodovědecké fakulty kultivaci a v intervalech 3, 6 a 9 dnů otestovány na infekčnost pomocí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qRT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-PCR metody. Testy u všech těchto vzorků, ze všech časových intervalů potvrdily, že se jedná o neinfekční, neživé částice. </w:t>
      </w:r>
    </w:p>
    <w:p w14:paraId="2B929EAF" w14:textId="36B37792" w:rsidR="009A749A" w:rsidRDefault="009A749A" w:rsidP="009A74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29ED15" w14:textId="788B38D6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„Kombinace PCR testů, nových </w:t>
      </w:r>
      <w:proofErr w:type="spellStart"/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biosenzorů</w:t>
      </w:r>
      <w:proofErr w:type="spellEnd"/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i následná kultivace podezřelých vzorků nám umožnila získat celkový obraz o přítomnosti a infekčnosti</w:t>
      </w:r>
      <w:r w:rsidR="009428F0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,</w:t>
      </w:r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resp. </w:t>
      </w:r>
      <w:r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v tomto případě </w:t>
      </w:r>
      <w:proofErr w:type="spellStart"/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neinfekčnosti</w:t>
      </w:r>
      <w:proofErr w:type="spellEnd"/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viru ve veřejné </w:t>
      </w:r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lastRenderedPageBreak/>
        <w:t>dopravě</w:t>
      </w:r>
      <w:r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. Výsledky studie nám ukázaly, že cestující v pražské MHD nejsou ohroženi přenosem infekce za předpokladu dodržování základních hygienických pravidel</w:t>
      </w:r>
      <w:r w:rsidRPr="004F2AC6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,“</w:t>
      </w:r>
      <w:r w:rsidRPr="004F2AC6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říká </w:t>
      </w:r>
      <w:r w:rsidRPr="004F2AC6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Alexandr </w:t>
      </w:r>
      <w:proofErr w:type="spellStart"/>
      <w:r w:rsidRPr="004F2AC6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Dejneka</w:t>
      </w:r>
      <w:proofErr w:type="spellEnd"/>
      <w:r w:rsidRPr="004F2AC6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, koordinátor analýz z Fyzikálního ústavu AV ČR</w:t>
      </w:r>
      <w:r w:rsidRPr="004F2AC6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667915EB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4E4AC9AA" w14:textId="5C879A8C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„</w:t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Je skvělá zpráva, že pražská MHD je bezpečná. Není a nebyla ani v době vrcholící pandemie žádným zdrojem covidu-19, jak potvrdily výsledky studie Akademie věd ČR a DPP. Děláme MHD bezpečnou </w:t>
      </w:r>
      <w:r w:rsid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br/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a ukazuje se, že skvěle funguje systém větrání a maximální výměny vzduchu, který téměř po celou dobu pandemie v dopravních prostředcích uplatňujeme. V konečném důsledku výsledky studie také ukazují, že náš </w:t>
      </w:r>
      <w:r w:rsid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společný </w:t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důraz </w:t>
      </w:r>
      <w:r w:rsid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s DPP </w:t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na vyšší četnost úklidů vozidel, na vyšší koncentrace čistících </w:t>
      </w:r>
      <w:r w:rsid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br/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i dezinfekčních prostředků během celé pandemie byl správným rozhodnutím, včetně neslevení </w:t>
      </w:r>
      <w:r w:rsid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br/>
      </w:r>
      <w:r w:rsidR="00812077"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z nastolených standardů v době, kdy se v ČR plošně rozvolňovalo. Obavy z využívání MHD tedy nejsou na místě. Navíc mě těší, že díky iniciativě DPP proběhl unikátní výzkum, jehož výsledky mohou posloužit jako silné argumenty i pro jiné dopravní podniky v ČR. Je to další příspěvek k tomu, proč je pražská MHD dlouhodobě hodnocena jako jedna z nejlepších na světě</w:t>
      </w:r>
      <w:r w:rsidRPr="00812077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,“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doplňuje </w:t>
      </w:r>
      <w:r w:rsidRPr="0032111D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Adam Scheinherr, náměstek primátora pro oblast dopravy a předseda dozorčí rady DPP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26274AD0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4C6DCF0D" w14:textId="5940DF46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290D65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„Výzkum, který provedli vědci z Akademie věd ČR</w:t>
      </w:r>
      <w:r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,</w:t>
      </w:r>
      <w:r w:rsidRPr="00290D65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potvrdil několik faktů. Za prvé, pražská MHD není žádným zdrojem či dokonce semeništěm nákazy covid-19, jak se před časem vyjadřovali některé oborné špičky v ČR. Ostatně stejné výsledky přinesla již dříve řada obdobných studií ze zahraničí. Za druhé, z nasávání vzduchu ve vnitřních prostorech dopravních prostředků se nepodařilo zachytit </w:t>
      </w:r>
      <w:r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absolutně žádnou stopu po viru způsobující onemocnění covid-19. Každý vzorek se nasával za plného provozu 30 minut, což je zhruba průměrná doba, kterou cestující stráví v pražské MHD. Ukazuje 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se</w:t>
      </w:r>
      <w:r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, že </w:t>
      </w:r>
      <w:r w:rsidR="00812077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opatření, která jsme v souvislosti s bojem proti pandemii zavedli, jakou j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e</w:t>
      </w:r>
      <w:r w:rsidR="00812077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intenzivnější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a četnější </w:t>
      </w:r>
      <w:r w:rsidR="00812077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úklid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</w:t>
      </w:r>
      <w:r w:rsidR="001A1D78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vozidel 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nebo</w:t>
      </w:r>
      <w:r w:rsidR="00812077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systém větrání </w:t>
      </w:r>
      <w:r w:rsidR="001A1D78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v dopravních prostředcích </w:t>
      </w:r>
      <w:r w:rsidR="00812077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dávají smysl</w:t>
      </w:r>
      <w:r w:rsidR="00453C9C" w:rsidRP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a přináší konkrétní výsledky.</w:t>
      </w:r>
      <w:r w:rsidR="00453C9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</w:t>
      </w:r>
      <w:r w:rsidRPr="00290D65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Nastavili jsme nový hygienický standard, ze kterého slevovat nebudeme. Na druhé straně je potřebné i v MHD dodržovat elementární hygienická pravidla. Jen díky tomu můžeme společně udržet vysoký standard a bezpečné prostředí pražské veřejné dopravy,“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uzavírá </w:t>
      </w:r>
      <w:r w:rsidRPr="00290D65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Petr Witowski, předseda představenstva a generální ředitel DPP</w:t>
      </w:r>
      <w:r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</w:t>
      </w:r>
      <w:r w:rsidRPr="00003F79">
        <w:rPr>
          <w:rFonts w:ascii="Arial" w:hAnsi="Arial" w:cs="Arial"/>
          <w:spacing w:val="2"/>
          <w:sz w:val="21"/>
          <w:szCs w:val="21"/>
          <w:shd w:val="clear" w:color="auto" w:fill="FFFFFF"/>
        </w:rPr>
        <w:t>a dodává</w:t>
      </w:r>
      <w:r w:rsidR="009428F0">
        <w:rPr>
          <w:rFonts w:ascii="Arial" w:hAnsi="Arial" w:cs="Arial"/>
          <w:spacing w:val="2"/>
          <w:sz w:val="21"/>
          <w:szCs w:val="21"/>
          <w:shd w:val="clear" w:color="auto" w:fill="FFFFFF"/>
        </w:rPr>
        <w:t>: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„</w:t>
      </w:r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 xml:space="preserve">Kolegům z Transport </w:t>
      </w:r>
      <w:proofErr w:type="spellStart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 xml:space="preserve"> London patří velké poděkování, neboť díky spolupráci s nimi jsme získali inspiraci a následně propojili vědce z Fyzikálního ústavu AV ČR s experty z </w:t>
      </w:r>
      <w:proofErr w:type="spellStart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>Imperial</w:t>
      </w:r>
      <w:proofErr w:type="spellEnd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>College</w:t>
      </w:r>
      <w:proofErr w:type="spellEnd"/>
      <w:r>
        <w:rPr>
          <w:rFonts w:ascii="Arial" w:hAnsi="Arial" w:cs="Arial"/>
          <w:bCs/>
          <w:i/>
          <w:spacing w:val="2"/>
          <w:sz w:val="21"/>
          <w:szCs w:val="21"/>
          <w:shd w:val="clear" w:color="auto" w:fill="FFFFFF"/>
        </w:rPr>
        <w:t xml:space="preserve"> v Londýně“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2BACF61F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256AD948" w14:textId="77777777" w:rsidR="009A749A" w:rsidRPr="00E75E4D" w:rsidRDefault="009A749A" w:rsidP="009A749A">
      <w:pPr>
        <w:spacing w:line="360" w:lineRule="auto"/>
        <w:jc w:val="both"/>
        <w:rPr>
          <w:rFonts w:ascii="Arial" w:hAnsi="Arial" w:cs="Arial"/>
          <w:b/>
          <w:bCs/>
          <w:i/>
          <w:spacing w:val="2"/>
          <w:sz w:val="21"/>
          <w:szCs w:val="21"/>
          <w:shd w:val="clear" w:color="auto" w:fill="FFFFFF"/>
        </w:rPr>
      </w:pPr>
      <w:r w:rsidRPr="00E75E4D">
        <w:rPr>
          <w:rFonts w:ascii="Arial" w:hAnsi="Arial" w:cs="Arial"/>
          <w:b/>
          <w:bCs/>
          <w:i/>
          <w:spacing w:val="2"/>
          <w:sz w:val="21"/>
          <w:szCs w:val="21"/>
          <w:shd w:val="clear" w:color="auto" w:fill="FFFFFF"/>
        </w:rPr>
        <w:t xml:space="preserve">Testování </w:t>
      </w:r>
      <w:proofErr w:type="spellStart"/>
      <w:r w:rsidRPr="00E75E4D">
        <w:rPr>
          <w:rFonts w:ascii="Arial" w:hAnsi="Arial" w:cs="Arial"/>
          <w:b/>
          <w:bCs/>
          <w:i/>
          <w:spacing w:val="2"/>
          <w:sz w:val="21"/>
          <w:szCs w:val="21"/>
          <w:shd w:val="clear" w:color="auto" w:fill="FFFFFF"/>
        </w:rPr>
        <w:t>biosenzorem</w:t>
      </w:r>
      <w:proofErr w:type="spellEnd"/>
    </w:p>
    <w:p w14:paraId="0F1E66B7" w14:textId="1424F15F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Testování </w:t>
      </w:r>
      <w:r w:rsidRPr="00B37DD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přítomnosti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viru </w:t>
      </w:r>
      <w:r w:rsidRPr="00B37DD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SARS-Co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V-</w:t>
      </w:r>
      <w:r w:rsidRPr="00B37DD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pomocí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bionsenzoru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je nová metoda, kterou vědci Fyzikálního ústavu AV ČR vyvíjejí od loňského roku. </w:t>
      </w:r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„Mezi výhody </w:t>
      </w:r>
      <w:proofErr w:type="spellStart"/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biosenzoru</w:t>
      </w:r>
      <w:proofErr w:type="spellEnd"/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patří rychlost detekce viru a také to, že vzorek nevyžaduje speciální přípravu, pouze se zkapalní,“</w:t>
      </w:r>
      <w:r w:rsidRPr="00EC1F1C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říká </w:t>
      </w:r>
      <w:r w:rsidRPr="00EC1F1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Hana </w:t>
      </w:r>
      <w:proofErr w:type="spellStart"/>
      <w:r w:rsidRPr="00EC1F1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Lísalová</w:t>
      </w:r>
      <w:proofErr w:type="spellEnd"/>
      <w:r w:rsidRPr="00EC1F1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z Fyzikálního ústavu AV ČR, autorka nové technologie</w:t>
      </w:r>
      <w:r w:rsidRPr="00EC1F1C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„Jak PCR, tak </w:t>
      </w:r>
      <w:proofErr w:type="spellStart"/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biosenzor</w:t>
      </w:r>
      <w:proofErr w:type="spellEnd"/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prokázaly v rámci testování </w:t>
      </w:r>
      <w:r w:rsidR="001A1D78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br/>
      </w:r>
      <w:r w:rsidRPr="00EC1F1C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v pražské dopravě podobnou citlivost, a tedy spolehlivost, což je pro vědecký tým skvělá zpráva,“</w:t>
      </w:r>
      <w:r w:rsidRPr="00EC1F1C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dodává </w:t>
      </w:r>
      <w:r w:rsidRPr="00EC1F1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Hana </w:t>
      </w:r>
      <w:proofErr w:type="spellStart"/>
      <w:r w:rsidRPr="00EC1F1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Lísalová</w:t>
      </w:r>
      <w:proofErr w:type="spellEnd"/>
      <w:r w:rsidRPr="00EC1F1C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bookmarkEnd w:id="0"/>
    <w:p w14:paraId="0E241CD9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5A39E2C4" w14:textId="77777777" w:rsidR="009A749A" w:rsidRPr="001B4780" w:rsidRDefault="009A749A" w:rsidP="009A749A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>Kde probíhal s</w:t>
      </w:r>
      <w:r w:rsidRPr="001B4780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>běr vzorků</w:t>
      </w:r>
    </w:p>
    <w:p w14:paraId="79BD5F1A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Ke stěrů vzorků DPP záměrně vybral linky a stanice metra, které jsou poblíž významných pražských nemocnic, poliklinik či zdravotních zařízení.</w:t>
      </w:r>
    </w:p>
    <w:p w14:paraId="70F669D8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84777FC" w14:textId="684C8A2C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U autobusů stěry probíhaly na linkách 124, 139, 150, 188, 199 a 213 na obratišti Želivského. V každém vozidle bylo až 11 vytipovaných míst, kterých se cestující nejčastěji dotýkají, např. tlačítko otevírání dveří,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označovač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jízdenek, madlo a svislá tyč u dveří, horizontální tyč, madlo u sedadla, vodorovná tyč u vyhrazeného místa pro kočárky, čalounění sedadla či tlačítko Stop. V</w:t>
      </w:r>
      <w:r w:rsidR="00D34BFD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ýzkumníci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odebrali </w:t>
      </w:r>
      <w:r w:rsidR="00D34BFD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z autobusů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celkem 154 stěrů.</w:t>
      </w:r>
    </w:p>
    <w:p w14:paraId="28D2C368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89F43D9" w14:textId="614F992C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Odběr vzorků z tramvají probíhal v</w:t>
      </w:r>
      <w:r w:rsidR="00D34BFD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 smyčce Březiněveská na linkách 3 a 24</w:t>
      </w:r>
      <w:r w:rsidR="00D34BFD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. Výzkumníci měli v každém vozidle vytipováno 12 míst, obdobných jako u autobusů, navíc zde byly např. dotykové displeje validátorů jízdenek, madla dveří či svislé tyče v místě kloubů u článkových tramvají. Z tramvají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vědci shromáždili celkem 160</w:t>
      </w:r>
      <w:r w:rsidR="00D34BFD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vzorků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50FAB838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D7A14C2" w14:textId="3FE801A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 případě metra vědci vzorky odebírali z vlakových souprav v depu Hostivař, ze kterého DPP obsluhuje linku A</w:t>
      </w:r>
      <w:r w:rsidR="009428F0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a v depu Kačerov, které slouží pro linku C. Obdobně jako ve vozidlech povrchové dopravy se zaměřili na tlačítka otevíraní dveří, madla u plexisklové výplně u dveří, horizontální tyče či svislé tyče ve středu vozů. Nasbírali zde celkem 126 vzorků. Dalších celkem 52 stěrů vědci odebrali na nástupištích a vestibulech stanic Budějovická, Palmovka a Želivského, především z madel eskalátorů, zábradlí schodišť, z dotykových displejů jízdenkových automatů, z laviček, tlačítek přivolání výtahu apod. </w:t>
      </w:r>
    </w:p>
    <w:p w14:paraId="0F7B3D35" w14:textId="77777777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05E7CEDC" w14:textId="5B5DB0D2" w:rsidR="009A749A" w:rsidRDefault="009A749A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Nasávání vzduchu probíhalo ve stejných stanicích metra, vždy na nástupišti i ve vestibulu, ve vlakových soupravách pak na trase Ládví – Háje – Florenc, Florenc – Zličín – Můstek, Můstek – Nemocnice Motol – Muzeum, Muzeum – Háje – Florenc a Florenc – Černý Most – Florenc. V tramvajích pak na linkách 1, 2, 3, 9, 10, 11, 16, 18 a na autobusových linkách 125, 167, 177, 188, 193 a 196. Jeden vzorek se nasával vždy po dobu 30 minut, celkem jich vědci touto metodou odebrali 66. </w:t>
      </w:r>
      <w:r w:rsidRPr="00F77E93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Přístroj na odběr vzduchu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, jehož základem je speciálně navržený polymerní </w:t>
      </w:r>
      <w:proofErr w:type="spellStart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nanokartáč</w:t>
      </w:r>
      <w:proofErr w:type="spellEnd"/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,</w:t>
      </w:r>
      <w:r w:rsidRPr="00F77E93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fyzikové vyvinuli ve spolupráci </w:t>
      </w:r>
      <w:r w:rsidR="001A1D78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br/>
      </w:r>
      <w:r w:rsidRPr="00F77E93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s Národním centrem kompetence MATCA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5A8AFD76" w14:textId="77777777" w:rsidR="009A749A" w:rsidRPr="0001174A" w:rsidRDefault="009A749A" w:rsidP="006F03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B7D67C" w14:textId="65864AB3" w:rsidR="001B51B1" w:rsidRPr="0001174A" w:rsidRDefault="009C1BC3" w:rsidP="006F0328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01174A">
        <w:rPr>
          <w:rFonts w:ascii="Arial" w:hAnsi="Arial" w:cs="Arial"/>
          <w:b/>
          <w:i/>
          <w:iCs/>
          <w:sz w:val="21"/>
          <w:szCs w:val="21"/>
        </w:rPr>
        <w:t>Kontakt</w:t>
      </w:r>
      <w:r w:rsidR="002B79D3" w:rsidRPr="0001174A">
        <w:rPr>
          <w:rFonts w:ascii="Arial" w:hAnsi="Arial" w:cs="Arial"/>
          <w:b/>
          <w:i/>
          <w:iCs/>
          <w:sz w:val="21"/>
          <w:szCs w:val="21"/>
        </w:rPr>
        <w:t>y pro média</w:t>
      </w:r>
      <w:r w:rsidRPr="0001174A">
        <w:rPr>
          <w:rFonts w:ascii="Arial" w:hAnsi="Arial" w:cs="Arial"/>
          <w:b/>
          <w:i/>
          <w:iCs/>
          <w:sz w:val="21"/>
          <w:szCs w:val="21"/>
        </w:rPr>
        <w:t>:</w:t>
      </w:r>
    </w:p>
    <w:p w14:paraId="023809C8" w14:textId="40E6C09B" w:rsidR="002B79D3" w:rsidRPr="009A749A" w:rsidRDefault="002B79D3" w:rsidP="006F032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Daniel Šabík, vedoucí odboru Komunikace DPP</w:t>
      </w:r>
    </w:p>
    <w:p w14:paraId="362E3E96" w14:textId="120DC835" w:rsidR="009C1BC3" w:rsidRPr="009A749A" w:rsidRDefault="002B79D3" w:rsidP="009A749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+420 777 771</w:t>
      </w:r>
      <w:r w:rsid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 </w:t>
      </w: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085</w:t>
      </w:r>
      <w:r w:rsid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, </w:t>
      </w:r>
      <w:hyperlink r:id="rId12" w:history="1">
        <w:r w:rsidR="009A749A" w:rsidRPr="002F3F68">
          <w:rPr>
            <w:rStyle w:val="Hypertextovodkaz"/>
            <w:rFonts w:ascii="Arial" w:hAnsi="Arial" w:cs="Arial"/>
            <w:bCs/>
            <w:spacing w:val="2"/>
            <w:sz w:val="21"/>
            <w:szCs w:val="21"/>
            <w:shd w:val="clear" w:color="auto" w:fill="FFFFFF"/>
          </w:rPr>
          <w:t>tiskoveoddeleni@dpp.cz</w:t>
        </w:r>
      </w:hyperlink>
    </w:p>
    <w:p w14:paraId="406756E8" w14:textId="2723CB7F" w:rsidR="001B51B1" w:rsidRPr="009A749A" w:rsidRDefault="001B51B1" w:rsidP="006F032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23429A29" w14:textId="1FA5237D" w:rsidR="009C1BC3" w:rsidRPr="009A749A" w:rsidRDefault="009C1BC3" w:rsidP="006F032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Markéta Růžičková, tiskové oddělení AV ČR</w:t>
      </w:r>
    </w:p>
    <w:p w14:paraId="36D21A72" w14:textId="7A236406" w:rsidR="000B006D" w:rsidRPr="009A749A" w:rsidRDefault="009C1BC3" w:rsidP="006F032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+420 777 970</w:t>
      </w:r>
      <w:r w:rsid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 </w:t>
      </w:r>
      <w:r w:rsidRP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812</w:t>
      </w:r>
      <w:r w:rsid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, </w:t>
      </w:r>
      <w:hyperlink r:id="rId13" w:history="1">
        <w:r w:rsidR="009A749A" w:rsidRPr="002F3F68">
          <w:rPr>
            <w:rStyle w:val="Hypertextovodkaz"/>
            <w:rFonts w:ascii="Arial" w:hAnsi="Arial" w:cs="Arial"/>
            <w:bCs/>
            <w:spacing w:val="2"/>
            <w:sz w:val="21"/>
            <w:szCs w:val="21"/>
            <w:shd w:val="clear" w:color="auto" w:fill="FFFFFF"/>
          </w:rPr>
          <w:t>press@avcr.cz</w:t>
        </w:r>
      </w:hyperlink>
      <w:r w:rsidR="009A749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</w:p>
    <w:sectPr w:rsidR="000B006D" w:rsidRPr="009A749A" w:rsidSect="00453C9C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418" w:right="1134" w:bottom="153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8883" w14:textId="77777777" w:rsidR="002D6763" w:rsidRDefault="002D6763">
      <w:r>
        <w:separator/>
      </w:r>
    </w:p>
  </w:endnote>
  <w:endnote w:type="continuationSeparator" w:id="0">
    <w:p w14:paraId="2DC1CBE0" w14:textId="77777777" w:rsidR="002D6763" w:rsidRDefault="002D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5461" w14:textId="5342D340" w:rsidR="003D09F6" w:rsidRDefault="00453C9C" w:rsidP="003D09F6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  <w:szCs w:val="16"/>
      </w:rPr>
      <w:drawing>
        <wp:anchor distT="0" distB="0" distL="114300" distR="114300" simplePos="0" relativeHeight="251657728" behindDoc="0" locked="0" layoutInCell="1" allowOverlap="1" wp14:anchorId="1115B478" wp14:editId="0815ED5F">
          <wp:simplePos x="0" y="0"/>
          <wp:positionH relativeFrom="margin">
            <wp:posOffset>4220210</wp:posOffset>
          </wp:positionH>
          <wp:positionV relativeFrom="paragraph">
            <wp:posOffset>38100</wp:posOffset>
          </wp:positionV>
          <wp:extent cx="1685925" cy="451485"/>
          <wp:effectExtent l="0" t="0" r="9525" b="5715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6704" behindDoc="0" locked="0" layoutInCell="1" allowOverlap="1" wp14:anchorId="37191FA9" wp14:editId="45AF2593">
          <wp:simplePos x="0" y="0"/>
          <wp:positionH relativeFrom="margin">
            <wp:posOffset>19685</wp:posOffset>
          </wp:positionH>
          <wp:positionV relativeFrom="paragraph">
            <wp:posOffset>19050</wp:posOffset>
          </wp:positionV>
          <wp:extent cx="2143125" cy="453390"/>
          <wp:effectExtent l="0" t="0" r="9525" b="381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687EA109" wp14:editId="11762380">
          <wp:simplePos x="0" y="0"/>
          <wp:positionH relativeFrom="margin">
            <wp:posOffset>2648585</wp:posOffset>
          </wp:positionH>
          <wp:positionV relativeFrom="paragraph">
            <wp:posOffset>-180975</wp:posOffset>
          </wp:positionV>
          <wp:extent cx="895350" cy="963930"/>
          <wp:effectExtent l="0" t="0" r="0" b="7620"/>
          <wp:wrapTight wrapText="bothSides">
            <wp:wrapPolygon edited="0">
              <wp:start x="0" y="0"/>
              <wp:lineTo x="0" y="21344"/>
              <wp:lineTo x="21140" y="21344"/>
              <wp:lineTo x="21140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3F277" w14:textId="6EC53C48" w:rsidR="003D09F6" w:rsidRDefault="003D09F6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0589A849" w14:textId="06D09409" w:rsidR="003D09F6" w:rsidRDefault="003D09F6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4523FDD0" w14:textId="76C7AE5B" w:rsidR="008D4485" w:rsidRPr="00161355" w:rsidRDefault="008D4485" w:rsidP="00161355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4C4D" w14:textId="5398E89C" w:rsidR="008D4485" w:rsidRDefault="000A5265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22189DA9" wp14:editId="7DD6F7B7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DOCPROPERTY  unikatni-ID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DB75DC">
      <w:rPr>
        <w:rFonts w:ascii="Arial" w:hAnsi="Arial" w:cs="Arial"/>
        <w:b/>
        <w:bCs/>
        <w:sz w:val="14"/>
        <w:szCs w:val="14"/>
      </w:rPr>
      <w:t>Chyba! Neznámý název vlastnosti dokumentu.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ab/>
      <w:t xml:space="preserve">Strana 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PAGE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1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>/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2</w:t>
    </w:r>
    <w:r w:rsidR="008D4485">
      <w:rPr>
        <w:rFonts w:ascii="Arial" w:hAnsi="Arial" w:cs="Arial"/>
        <w:sz w:val="14"/>
        <w:szCs w:val="14"/>
      </w:rPr>
      <w:fldChar w:fldCharType="end"/>
    </w:r>
  </w:p>
  <w:p w14:paraId="0F7AF0AE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A6FFA5B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4E46946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9A771C8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67C4C6D7" w14:textId="77777777" w:rsidR="008D4485" w:rsidRPr="008D4485" w:rsidRDefault="008D4485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BC88" w14:textId="77777777" w:rsidR="002D6763" w:rsidRDefault="002D6763">
      <w:r>
        <w:separator/>
      </w:r>
    </w:p>
  </w:footnote>
  <w:footnote w:type="continuationSeparator" w:id="0">
    <w:p w14:paraId="22BA9D48" w14:textId="77777777" w:rsidR="002D6763" w:rsidRDefault="002D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9CF9" w14:textId="77777777" w:rsidR="008D4485" w:rsidRDefault="008D4485" w:rsidP="00AF21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D6CFEE" w14:textId="77777777" w:rsidR="008D4485" w:rsidRDefault="00D50BB7" w:rsidP="00190B96">
    <w:pPr>
      <w:pStyle w:val="Zhlav"/>
      <w:ind w:right="360"/>
    </w:pPr>
    <w:r>
      <w:rPr>
        <w:noProof/>
      </w:rPr>
      <w:pict w14:anchorId="183AB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6704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1D7" w14:textId="7357B858" w:rsidR="008D4485" w:rsidRPr="00802703" w:rsidRDefault="00802703" w:rsidP="008D4485">
    <w:pPr>
      <w:pStyle w:val="Zhlav"/>
      <w:ind w:right="360"/>
      <w:rPr>
        <w:rFonts w:ascii="Arial" w:hAnsi="Arial" w:cs="Arial"/>
        <w:b/>
        <w:color w:val="808080"/>
        <w:sz w:val="44"/>
        <w:szCs w:val="44"/>
      </w:rPr>
    </w:pPr>
    <w:r w:rsidRPr="00DD644A">
      <w:rPr>
        <w:rFonts w:ascii="Arial" w:hAnsi="Arial" w:cs="Arial"/>
        <w:b/>
        <w:color w:val="808080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0A4"/>
    <w:multiLevelType w:val="hybridMultilevel"/>
    <w:tmpl w:val="1752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12F"/>
    <w:multiLevelType w:val="hybridMultilevel"/>
    <w:tmpl w:val="E558E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261A"/>
    <w:multiLevelType w:val="hybridMultilevel"/>
    <w:tmpl w:val="B6D80FB2"/>
    <w:lvl w:ilvl="0" w:tplc="03485052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E8"/>
    <w:multiLevelType w:val="multilevel"/>
    <w:tmpl w:val="1AA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2CA7"/>
    <w:multiLevelType w:val="hybridMultilevel"/>
    <w:tmpl w:val="9B14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335"/>
    <w:multiLevelType w:val="hybridMultilevel"/>
    <w:tmpl w:val="A97449FC"/>
    <w:lvl w:ilvl="0" w:tplc="D9D2087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604D"/>
    <w:multiLevelType w:val="hybridMultilevel"/>
    <w:tmpl w:val="C6B4A5A0"/>
    <w:lvl w:ilvl="0" w:tplc="8592B5C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5841"/>
    <w:multiLevelType w:val="hybridMultilevel"/>
    <w:tmpl w:val="1CE25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1E68"/>
    <w:multiLevelType w:val="hybridMultilevel"/>
    <w:tmpl w:val="759C5FBE"/>
    <w:lvl w:ilvl="0" w:tplc="03485052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57B07"/>
    <w:multiLevelType w:val="hybridMultilevel"/>
    <w:tmpl w:val="32B6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445D"/>
    <w:multiLevelType w:val="hybridMultilevel"/>
    <w:tmpl w:val="83B4122E"/>
    <w:lvl w:ilvl="0" w:tplc="02F00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D16"/>
    <w:multiLevelType w:val="hybridMultilevel"/>
    <w:tmpl w:val="CD3E3936"/>
    <w:lvl w:ilvl="0" w:tplc="9F5E6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6CC6"/>
    <w:multiLevelType w:val="hybridMultilevel"/>
    <w:tmpl w:val="61BC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3088C"/>
    <w:multiLevelType w:val="hybridMultilevel"/>
    <w:tmpl w:val="1B4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EC"/>
    <w:rsid w:val="0000052A"/>
    <w:rsid w:val="000031CC"/>
    <w:rsid w:val="000047A1"/>
    <w:rsid w:val="0001174A"/>
    <w:rsid w:val="000120BC"/>
    <w:rsid w:val="000121A1"/>
    <w:rsid w:val="000157E3"/>
    <w:rsid w:val="00021C14"/>
    <w:rsid w:val="00045654"/>
    <w:rsid w:val="000510EB"/>
    <w:rsid w:val="00051F2F"/>
    <w:rsid w:val="0005242F"/>
    <w:rsid w:val="00062197"/>
    <w:rsid w:val="000734DB"/>
    <w:rsid w:val="00075054"/>
    <w:rsid w:val="000776A1"/>
    <w:rsid w:val="00087E7E"/>
    <w:rsid w:val="0009600C"/>
    <w:rsid w:val="00097D29"/>
    <w:rsid w:val="000A5265"/>
    <w:rsid w:val="000B006D"/>
    <w:rsid w:val="000B0A62"/>
    <w:rsid w:val="000B341C"/>
    <w:rsid w:val="000B454A"/>
    <w:rsid w:val="000B4B02"/>
    <w:rsid w:val="000C4BF5"/>
    <w:rsid w:val="000C5B4B"/>
    <w:rsid w:val="000D1F74"/>
    <w:rsid w:val="000D39F9"/>
    <w:rsid w:val="000D4CF2"/>
    <w:rsid w:val="000E4160"/>
    <w:rsid w:val="000E4CCC"/>
    <w:rsid w:val="000F5E34"/>
    <w:rsid w:val="0010161B"/>
    <w:rsid w:val="001162CB"/>
    <w:rsid w:val="00124BDF"/>
    <w:rsid w:val="00131E72"/>
    <w:rsid w:val="001413EB"/>
    <w:rsid w:val="00147837"/>
    <w:rsid w:val="00151D91"/>
    <w:rsid w:val="00154253"/>
    <w:rsid w:val="00155E4F"/>
    <w:rsid w:val="0015672F"/>
    <w:rsid w:val="00156E78"/>
    <w:rsid w:val="00161355"/>
    <w:rsid w:val="00165F20"/>
    <w:rsid w:val="0017059A"/>
    <w:rsid w:val="00176199"/>
    <w:rsid w:val="00190B96"/>
    <w:rsid w:val="00191A55"/>
    <w:rsid w:val="0019633A"/>
    <w:rsid w:val="001A1D78"/>
    <w:rsid w:val="001A60ED"/>
    <w:rsid w:val="001B43DD"/>
    <w:rsid w:val="001B51B1"/>
    <w:rsid w:val="001B6582"/>
    <w:rsid w:val="001C4023"/>
    <w:rsid w:val="001C6114"/>
    <w:rsid w:val="002135C4"/>
    <w:rsid w:val="00215D35"/>
    <w:rsid w:val="00215E00"/>
    <w:rsid w:val="00222137"/>
    <w:rsid w:val="002354BF"/>
    <w:rsid w:val="00244738"/>
    <w:rsid w:val="002534FD"/>
    <w:rsid w:val="00253D1C"/>
    <w:rsid w:val="0028523F"/>
    <w:rsid w:val="00290435"/>
    <w:rsid w:val="00295BEC"/>
    <w:rsid w:val="002B79D3"/>
    <w:rsid w:val="002D4967"/>
    <w:rsid w:val="002D57B5"/>
    <w:rsid w:val="002D6763"/>
    <w:rsid w:val="002D701E"/>
    <w:rsid w:val="002E19B2"/>
    <w:rsid w:val="003061AE"/>
    <w:rsid w:val="00322AFA"/>
    <w:rsid w:val="003232CF"/>
    <w:rsid w:val="00325D75"/>
    <w:rsid w:val="00342547"/>
    <w:rsid w:val="00344E6A"/>
    <w:rsid w:val="00346B5E"/>
    <w:rsid w:val="00347F46"/>
    <w:rsid w:val="003707CB"/>
    <w:rsid w:val="00372764"/>
    <w:rsid w:val="00382EF1"/>
    <w:rsid w:val="0039365E"/>
    <w:rsid w:val="003A10B0"/>
    <w:rsid w:val="003A73A5"/>
    <w:rsid w:val="003B1528"/>
    <w:rsid w:val="003B5DD3"/>
    <w:rsid w:val="003C2B8C"/>
    <w:rsid w:val="003D09F6"/>
    <w:rsid w:val="003D5296"/>
    <w:rsid w:val="003D629F"/>
    <w:rsid w:val="003D7BC2"/>
    <w:rsid w:val="003E58AE"/>
    <w:rsid w:val="003E6259"/>
    <w:rsid w:val="003F0573"/>
    <w:rsid w:val="003F69D9"/>
    <w:rsid w:val="00407CFC"/>
    <w:rsid w:val="0042789C"/>
    <w:rsid w:val="00432746"/>
    <w:rsid w:val="00437420"/>
    <w:rsid w:val="0044779B"/>
    <w:rsid w:val="00453C9C"/>
    <w:rsid w:val="004567C3"/>
    <w:rsid w:val="00461A1D"/>
    <w:rsid w:val="0046347C"/>
    <w:rsid w:val="00465FC4"/>
    <w:rsid w:val="0047587E"/>
    <w:rsid w:val="004B3197"/>
    <w:rsid w:val="004C63A0"/>
    <w:rsid w:val="004D1856"/>
    <w:rsid w:val="00506D5D"/>
    <w:rsid w:val="00514C1B"/>
    <w:rsid w:val="005209D2"/>
    <w:rsid w:val="0052580D"/>
    <w:rsid w:val="00540B6E"/>
    <w:rsid w:val="0055437A"/>
    <w:rsid w:val="00561C72"/>
    <w:rsid w:val="0056721A"/>
    <w:rsid w:val="0057233D"/>
    <w:rsid w:val="005764FC"/>
    <w:rsid w:val="0057714C"/>
    <w:rsid w:val="00587455"/>
    <w:rsid w:val="00593B72"/>
    <w:rsid w:val="00593D0B"/>
    <w:rsid w:val="005B0DB1"/>
    <w:rsid w:val="005B2523"/>
    <w:rsid w:val="005B590A"/>
    <w:rsid w:val="005B7B0A"/>
    <w:rsid w:val="005C2D4C"/>
    <w:rsid w:val="005C695B"/>
    <w:rsid w:val="005D0811"/>
    <w:rsid w:val="005E34C3"/>
    <w:rsid w:val="005F1DC9"/>
    <w:rsid w:val="005F7CDB"/>
    <w:rsid w:val="006405A9"/>
    <w:rsid w:val="00644517"/>
    <w:rsid w:val="006449AF"/>
    <w:rsid w:val="00646357"/>
    <w:rsid w:val="00666328"/>
    <w:rsid w:val="00666E6D"/>
    <w:rsid w:val="006761B4"/>
    <w:rsid w:val="00681105"/>
    <w:rsid w:val="0068654F"/>
    <w:rsid w:val="00691814"/>
    <w:rsid w:val="006A268A"/>
    <w:rsid w:val="006C20F8"/>
    <w:rsid w:val="006C4ADC"/>
    <w:rsid w:val="006C64F5"/>
    <w:rsid w:val="006D4050"/>
    <w:rsid w:val="006D6AC9"/>
    <w:rsid w:val="006E156E"/>
    <w:rsid w:val="006E3F9E"/>
    <w:rsid w:val="006E55B4"/>
    <w:rsid w:val="006F0328"/>
    <w:rsid w:val="006F6815"/>
    <w:rsid w:val="00713838"/>
    <w:rsid w:val="00713AE9"/>
    <w:rsid w:val="00720B4F"/>
    <w:rsid w:val="00742635"/>
    <w:rsid w:val="007453E2"/>
    <w:rsid w:val="00754F74"/>
    <w:rsid w:val="00763C37"/>
    <w:rsid w:val="007658A6"/>
    <w:rsid w:val="00794715"/>
    <w:rsid w:val="007A3BA9"/>
    <w:rsid w:val="007B07D7"/>
    <w:rsid w:val="007C6735"/>
    <w:rsid w:val="007E1CD6"/>
    <w:rsid w:val="007F3788"/>
    <w:rsid w:val="007F61B4"/>
    <w:rsid w:val="007F70A0"/>
    <w:rsid w:val="007F7BC0"/>
    <w:rsid w:val="00802703"/>
    <w:rsid w:val="00812077"/>
    <w:rsid w:val="0081462A"/>
    <w:rsid w:val="00814B18"/>
    <w:rsid w:val="0082793F"/>
    <w:rsid w:val="0083228D"/>
    <w:rsid w:val="008373D9"/>
    <w:rsid w:val="0085160A"/>
    <w:rsid w:val="00851ECC"/>
    <w:rsid w:val="008737E3"/>
    <w:rsid w:val="00877785"/>
    <w:rsid w:val="00890C33"/>
    <w:rsid w:val="008924CA"/>
    <w:rsid w:val="00892CE8"/>
    <w:rsid w:val="00892FFD"/>
    <w:rsid w:val="00894275"/>
    <w:rsid w:val="008A718E"/>
    <w:rsid w:val="008B46E2"/>
    <w:rsid w:val="008C16CF"/>
    <w:rsid w:val="008C3ADB"/>
    <w:rsid w:val="008D2A25"/>
    <w:rsid w:val="008D4485"/>
    <w:rsid w:val="008D7FB9"/>
    <w:rsid w:val="008F15F4"/>
    <w:rsid w:val="008F1E07"/>
    <w:rsid w:val="008F690D"/>
    <w:rsid w:val="00905185"/>
    <w:rsid w:val="00913ACA"/>
    <w:rsid w:val="00913BBD"/>
    <w:rsid w:val="0091751B"/>
    <w:rsid w:val="00921804"/>
    <w:rsid w:val="00921E32"/>
    <w:rsid w:val="00924FED"/>
    <w:rsid w:val="00926698"/>
    <w:rsid w:val="00926851"/>
    <w:rsid w:val="009428F0"/>
    <w:rsid w:val="0095640B"/>
    <w:rsid w:val="00956AB8"/>
    <w:rsid w:val="00960D6B"/>
    <w:rsid w:val="00961C5E"/>
    <w:rsid w:val="009658D7"/>
    <w:rsid w:val="00977A5B"/>
    <w:rsid w:val="009860FB"/>
    <w:rsid w:val="009934D5"/>
    <w:rsid w:val="00994027"/>
    <w:rsid w:val="009A10DD"/>
    <w:rsid w:val="009A49C9"/>
    <w:rsid w:val="009A749A"/>
    <w:rsid w:val="009B2A03"/>
    <w:rsid w:val="009B699A"/>
    <w:rsid w:val="009B6BC3"/>
    <w:rsid w:val="009C11E9"/>
    <w:rsid w:val="009C1BC3"/>
    <w:rsid w:val="009C599A"/>
    <w:rsid w:val="009E3F4C"/>
    <w:rsid w:val="009E42E6"/>
    <w:rsid w:val="009E5845"/>
    <w:rsid w:val="009E6C35"/>
    <w:rsid w:val="009F6053"/>
    <w:rsid w:val="00A05C3E"/>
    <w:rsid w:val="00A17502"/>
    <w:rsid w:val="00A27B2F"/>
    <w:rsid w:val="00A33307"/>
    <w:rsid w:val="00A42FFE"/>
    <w:rsid w:val="00A4656E"/>
    <w:rsid w:val="00A56247"/>
    <w:rsid w:val="00A72A95"/>
    <w:rsid w:val="00A72FD0"/>
    <w:rsid w:val="00A73F44"/>
    <w:rsid w:val="00A9305B"/>
    <w:rsid w:val="00AB2217"/>
    <w:rsid w:val="00AB5E2D"/>
    <w:rsid w:val="00AB75D4"/>
    <w:rsid w:val="00AB7DCF"/>
    <w:rsid w:val="00AC2416"/>
    <w:rsid w:val="00AC4596"/>
    <w:rsid w:val="00AD647B"/>
    <w:rsid w:val="00AE1E8D"/>
    <w:rsid w:val="00AE3C3C"/>
    <w:rsid w:val="00AF2198"/>
    <w:rsid w:val="00B1519B"/>
    <w:rsid w:val="00B23211"/>
    <w:rsid w:val="00B27055"/>
    <w:rsid w:val="00B4371A"/>
    <w:rsid w:val="00B46996"/>
    <w:rsid w:val="00B5112E"/>
    <w:rsid w:val="00B566A7"/>
    <w:rsid w:val="00B576A6"/>
    <w:rsid w:val="00B67216"/>
    <w:rsid w:val="00B67954"/>
    <w:rsid w:val="00B70CFD"/>
    <w:rsid w:val="00B77179"/>
    <w:rsid w:val="00B849D1"/>
    <w:rsid w:val="00B93F50"/>
    <w:rsid w:val="00BF52F0"/>
    <w:rsid w:val="00BF6E1C"/>
    <w:rsid w:val="00C0020E"/>
    <w:rsid w:val="00C0095E"/>
    <w:rsid w:val="00C10CC3"/>
    <w:rsid w:val="00C11304"/>
    <w:rsid w:val="00C166B6"/>
    <w:rsid w:val="00C3126C"/>
    <w:rsid w:val="00C340AC"/>
    <w:rsid w:val="00C3492A"/>
    <w:rsid w:val="00C41706"/>
    <w:rsid w:val="00C54BFF"/>
    <w:rsid w:val="00C647FE"/>
    <w:rsid w:val="00C87E57"/>
    <w:rsid w:val="00C91282"/>
    <w:rsid w:val="00C94D9D"/>
    <w:rsid w:val="00CB0885"/>
    <w:rsid w:val="00CB5EA5"/>
    <w:rsid w:val="00CC5E4B"/>
    <w:rsid w:val="00CD1DA4"/>
    <w:rsid w:val="00D01251"/>
    <w:rsid w:val="00D0567F"/>
    <w:rsid w:val="00D05F48"/>
    <w:rsid w:val="00D148F6"/>
    <w:rsid w:val="00D17D72"/>
    <w:rsid w:val="00D23D10"/>
    <w:rsid w:val="00D24311"/>
    <w:rsid w:val="00D24E9A"/>
    <w:rsid w:val="00D2630C"/>
    <w:rsid w:val="00D31F40"/>
    <w:rsid w:val="00D34BFD"/>
    <w:rsid w:val="00D409E0"/>
    <w:rsid w:val="00D50BB7"/>
    <w:rsid w:val="00D52CA6"/>
    <w:rsid w:val="00D52DA8"/>
    <w:rsid w:val="00D61CED"/>
    <w:rsid w:val="00D801F2"/>
    <w:rsid w:val="00D812BC"/>
    <w:rsid w:val="00D84219"/>
    <w:rsid w:val="00D8524B"/>
    <w:rsid w:val="00D93648"/>
    <w:rsid w:val="00D97BE0"/>
    <w:rsid w:val="00DA4AEC"/>
    <w:rsid w:val="00DB5E1B"/>
    <w:rsid w:val="00DB75DC"/>
    <w:rsid w:val="00DC03D5"/>
    <w:rsid w:val="00DC4B64"/>
    <w:rsid w:val="00DC5E28"/>
    <w:rsid w:val="00DD644A"/>
    <w:rsid w:val="00DE5163"/>
    <w:rsid w:val="00DF03A2"/>
    <w:rsid w:val="00DF7416"/>
    <w:rsid w:val="00E118DC"/>
    <w:rsid w:val="00E1472F"/>
    <w:rsid w:val="00E21EEE"/>
    <w:rsid w:val="00E30694"/>
    <w:rsid w:val="00E3176A"/>
    <w:rsid w:val="00E33C88"/>
    <w:rsid w:val="00E37DD9"/>
    <w:rsid w:val="00E4527C"/>
    <w:rsid w:val="00E74900"/>
    <w:rsid w:val="00E80363"/>
    <w:rsid w:val="00E966C3"/>
    <w:rsid w:val="00E96DB7"/>
    <w:rsid w:val="00E97D3E"/>
    <w:rsid w:val="00EA0800"/>
    <w:rsid w:val="00EA0F91"/>
    <w:rsid w:val="00EA1CB9"/>
    <w:rsid w:val="00EA6883"/>
    <w:rsid w:val="00EB2611"/>
    <w:rsid w:val="00EB29C1"/>
    <w:rsid w:val="00EB68E5"/>
    <w:rsid w:val="00EC0499"/>
    <w:rsid w:val="00EF0EBF"/>
    <w:rsid w:val="00EF1B3D"/>
    <w:rsid w:val="00F01CC0"/>
    <w:rsid w:val="00F05453"/>
    <w:rsid w:val="00F05CFA"/>
    <w:rsid w:val="00F06D66"/>
    <w:rsid w:val="00F22276"/>
    <w:rsid w:val="00F34859"/>
    <w:rsid w:val="00F365AB"/>
    <w:rsid w:val="00F4212E"/>
    <w:rsid w:val="00F46449"/>
    <w:rsid w:val="00F8113D"/>
    <w:rsid w:val="00F82445"/>
    <w:rsid w:val="00FA0BE5"/>
    <w:rsid w:val="00FB5AA4"/>
    <w:rsid w:val="00FC24ED"/>
    <w:rsid w:val="00FD1D44"/>
    <w:rsid w:val="00FE198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EDA660"/>
  <w15:chartTrackingRefBased/>
  <w15:docId w15:val="{AF0EB50B-6B54-4035-A9B8-B7264BD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1BC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449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9B2A03"/>
    <w:pPr>
      <w:keepNext/>
      <w:outlineLvl w:val="7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link w:val="ZhlavChar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character" w:customStyle="1" w:styleId="Nadpis8Char">
    <w:name w:val="Nadpis 8 Char"/>
    <w:link w:val="Nadpis8"/>
    <w:rsid w:val="009B2A03"/>
    <w:rPr>
      <w:rFonts w:ascii="Arial" w:hAnsi="Arial" w:cs="Arial"/>
      <w:i/>
      <w:iCs/>
      <w:sz w:val="24"/>
      <w:szCs w:val="24"/>
    </w:rPr>
  </w:style>
  <w:style w:type="character" w:styleId="Hypertextovodkaz">
    <w:name w:val="Hyperlink"/>
    <w:uiPriority w:val="99"/>
    <w:rsid w:val="009B2A03"/>
    <w:rPr>
      <w:color w:val="0000FF"/>
      <w:u w:val="single"/>
    </w:rPr>
  </w:style>
  <w:style w:type="character" w:customStyle="1" w:styleId="ZhlavChar">
    <w:name w:val="Záhlaví Char"/>
    <w:link w:val="Zhlav"/>
    <w:rsid w:val="009B2A03"/>
    <w:rPr>
      <w:sz w:val="24"/>
      <w:szCs w:val="24"/>
    </w:rPr>
  </w:style>
  <w:style w:type="character" w:customStyle="1" w:styleId="Nadpis2Char">
    <w:name w:val="Nadpis 2 Char"/>
    <w:link w:val="Nadpis2"/>
    <w:rsid w:val="006449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--textbigger">
    <w:name w:val="p--textbigger"/>
    <w:basedOn w:val="Normln"/>
    <w:rsid w:val="006449A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449AF"/>
    <w:rPr>
      <w:b/>
      <w:bCs/>
    </w:rPr>
  </w:style>
  <w:style w:type="paragraph" w:styleId="Normlnweb">
    <w:name w:val="Normal (Web)"/>
    <w:basedOn w:val="Normln"/>
    <w:uiPriority w:val="99"/>
    <w:unhideWhenUsed/>
    <w:rsid w:val="006449A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6449AF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C11304"/>
    <w:rPr>
      <w:color w:val="605E5C"/>
      <w:shd w:val="clear" w:color="auto" w:fill="E1DFDD"/>
    </w:rPr>
  </w:style>
  <w:style w:type="character" w:styleId="Odkaznakoment">
    <w:name w:val="annotation reference"/>
    <w:rsid w:val="00877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77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7785"/>
  </w:style>
  <w:style w:type="paragraph" w:styleId="Pedmtkomente">
    <w:name w:val="annotation subject"/>
    <w:basedOn w:val="Textkomente"/>
    <w:next w:val="Textkomente"/>
    <w:link w:val="PedmtkomenteChar"/>
    <w:rsid w:val="00877785"/>
    <w:rPr>
      <w:b/>
      <w:bCs/>
    </w:rPr>
  </w:style>
  <w:style w:type="character" w:customStyle="1" w:styleId="PedmtkomenteChar">
    <w:name w:val="Předmět komentáře Char"/>
    <w:link w:val="Pedmtkomente"/>
    <w:rsid w:val="00877785"/>
    <w:rPr>
      <w:b/>
      <w:bCs/>
    </w:rPr>
  </w:style>
  <w:style w:type="paragraph" w:styleId="Textbubliny">
    <w:name w:val="Balloon Text"/>
    <w:basedOn w:val="Normln"/>
    <w:link w:val="TextbublinyChar"/>
    <w:rsid w:val="0087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7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006D"/>
    <w:pPr>
      <w:ind w:left="720"/>
      <w:contextualSpacing/>
    </w:pPr>
  </w:style>
  <w:style w:type="paragraph" w:styleId="Revize">
    <w:name w:val="Revision"/>
    <w:hidden/>
    <w:uiPriority w:val="99"/>
    <w:semiHidden/>
    <w:rsid w:val="009A10DD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ss@av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iskoveoddeleni@dpp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reationPath"><![CDATA[bc798c3e-4b3a-4e64-96c3-fbd47ad8d7c9,12;ad6d0366-9bea-4935-b726-82623bb70c19,22;ad6d0366-9bea-4935-b726-82623bb70c19,24;ad6d0366-9bea-4935-b726-82623bb70c19,26;a7f55597-ad9b-4244-bfe9-0f0a6799d3ce,27;a7f55597-ad9b-4244-bfe9-0f0a6799d3ce,29;a7f55597-ad9b-4244-bfe9-0f0a6799d3ce,31;2bde63a3-6cba-4599-8c17-667cb7e18477,32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8" ma:contentTypeDescription="Vytvoří nový dokument" ma:contentTypeScope="" ma:versionID="d1b6dcdeb56f2b80aab547f5d46935bf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628185723d4b30b0a2a4d6a318b4e051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E7E5-7705-4277-91C6-CEAE8AB2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88BED-AE73-4A4A-B61D-69AA24B091A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C016CB2-DFA6-4FED-BF9D-57EAFE185C68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ab371c4-f620-4ad9-8426-a3de892c8eee"/>
  </ds:schemaRefs>
</ds:datastoreItem>
</file>

<file path=customXml/itemProps4.xml><?xml version="1.0" encoding="utf-8"?>
<ds:datastoreItem xmlns:ds="http://schemas.openxmlformats.org/officeDocument/2006/customXml" ds:itemID="{BA489E6E-9CB9-4C5E-A38B-51F457C5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4EB328-4AEB-43FC-A3D3-A7E0FA84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>Proximity</Company>
  <LinksUpToDate>false</LinksUpToDate>
  <CharactersWithSpaces>8178</CharactersWithSpaces>
  <SharedDoc>false</SharedDoc>
  <HLinks>
    <vt:vector size="18" baseType="variant"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mailto:tiskoveoddeleni@dpp.cz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https://www.dpp.cz/omezeni-a-mimoradne-udalosti/detail/8626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papir</dc:title>
  <dc:subject/>
  <dc:creator>j_prucha</dc:creator>
  <cp:keywords/>
  <cp:lastModifiedBy>Spěváčková Martina</cp:lastModifiedBy>
  <cp:revision>2</cp:revision>
  <cp:lastPrinted>2021-03-03T07:46:00Z</cp:lastPrinted>
  <dcterms:created xsi:type="dcterms:W3CDTF">2021-06-10T11:37:00Z</dcterms:created>
  <dcterms:modified xsi:type="dcterms:W3CDTF">2021-06-10T11:37:00Z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398aba0e-be4f-47ed-b822-8cb67e76fee8</vt:lpwstr>
  </property>
  <property fmtid="{D5CDD505-2E9C-101B-9397-08002B2CF9AE}" pid="13" name="_dlc_DocIdUrl">
    <vt:lpwstr>https://iportal.dpp.cz/sablony_dokumentu/_layouts/15/DocIdRedir.aspx?ID=VDQ3DCUZ6V27-69-192,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1fbccbda-2264-4d0c-99ba-3e33e4f53bba,6;1fbccbda-2264-4d0c-99ba-3e33e4f53bba,10;</vt:lpwstr>
  </property>
  <property fmtid="{D5CDD505-2E9C-101B-9397-08002B2CF9AE}" pid="17" name="ContentTypeId">
    <vt:lpwstr>0x010100368D2E35132D26478D8E35AE6B8F43C4</vt:lpwstr>
  </property>
</Properties>
</file>