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E6403" w14:textId="77777777" w:rsidR="0062236B" w:rsidRDefault="003A5CFD" w:rsidP="003A5CFD">
      <w:pPr>
        <w:spacing w:line="276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3A5CFD">
        <w:rPr>
          <w:rFonts w:ascii="Arial" w:hAnsi="Arial" w:cs="Arial"/>
          <w:b/>
          <w:sz w:val="28"/>
        </w:rPr>
        <w:t>Zaostávající podprůměr: Česko se na evropském žebříčku</w:t>
      </w:r>
      <w:r>
        <w:rPr>
          <w:rFonts w:ascii="Arial" w:hAnsi="Arial" w:cs="Arial"/>
          <w:b/>
          <w:sz w:val="28"/>
        </w:rPr>
        <w:br/>
      </w:r>
      <w:r w:rsidRPr="003A5CFD">
        <w:rPr>
          <w:rFonts w:ascii="Arial" w:hAnsi="Arial" w:cs="Arial"/>
          <w:b/>
          <w:sz w:val="28"/>
        </w:rPr>
        <w:t>genderové rovnosti propadá, je na 23. místě</w:t>
      </w:r>
    </w:p>
    <w:p w14:paraId="0A2F9911" w14:textId="77777777" w:rsidR="0062236B" w:rsidRPr="003A5CFD" w:rsidRDefault="001360AD" w:rsidP="003A5CFD">
      <w:p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br/>
      </w:r>
      <w:r w:rsidR="003A5CFD">
        <w:rPr>
          <w:rFonts w:ascii="Arial" w:hAnsi="Arial" w:cs="Arial"/>
          <w:b/>
        </w:rPr>
        <w:t>10</w:t>
      </w:r>
      <w:r w:rsidR="0062236B" w:rsidRPr="0062236B">
        <w:rPr>
          <w:rFonts w:ascii="Arial" w:hAnsi="Arial" w:cs="Arial"/>
          <w:b/>
        </w:rPr>
        <w:t xml:space="preserve">. </w:t>
      </w:r>
      <w:r w:rsidR="003A5CFD">
        <w:rPr>
          <w:rFonts w:ascii="Arial" w:hAnsi="Arial" w:cs="Arial"/>
          <w:b/>
        </w:rPr>
        <w:t>11.</w:t>
      </w:r>
      <w:r w:rsidR="0062236B" w:rsidRPr="0062236B">
        <w:rPr>
          <w:rFonts w:ascii="Arial" w:hAnsi="Arial" w:cs="Arial"/>
          <w:b/>
        </w:rPr>
        <w:t xml:space="preserve"> 20</w:t>
      </w:r>
      <w:r w:rsidR="003A5CFD">
        <w:rPr>
          <w:rFonts w:ascii="Arial" w:hAnsi="Arial" w:cs="Arial"/>
          <w:b/>
        </w:rPr>
        <w:t>20</w:t>
      </w:r>
      <w:r w:rsidR="0062236B" w:rsidRPr="0062236B">
        <w:rPr>
          <w:rFonts w:ascii="Arial" w:hAnsi="Arial" w:cs="Arial"/>
          <w:b/>
        </w:rPr>
        <w:t xml:space="preserve">, Praha | </w:t>
      </w:r>
      <w:hyperlink r:id="rId10" w:history="1">
        <w:r w:rsidR="003A5CFD" w:rsidRPr="003A5CFD">
          <w:rPr>
            <w:rStyle w:val="Hypertextovodkaz"/>
            <w:rFonts w:ascii="Arial" w:hAnsi="Arial" w:cs="Arial"/>
            <w:i/>
          </w:rPr>
          <w:t>Index genderové rovnosti</w:t>
        </w:r>
      </w:hyperlink>
      <w:r w:rsidR="003A5CFD" w:rsidRPr="003A5CFD">
        <w:rPr>
          <w:rFonts w:ascii="Arial" w:hAnsi="Arial" w:cs="Arial"/>
          <w:i/>
        </w:rPr>
        <w:t xml:space="preserve"> je žebříček, který každoročně zveřejňuje Evropský institut pro genderovou rovnost. Vychází už desátým rokem a Česko si na něm nevede nijak slavně – od začátku se propadlo o celých devět příček na současné 23. místo z 28 členských států EU. Rovnost pohlaví u nás dosahuje 56,2 bodů ze 100 možných. Hůře jsou na tom například Polsko, Slovensko, Rumunsko, Maďarsko nebo Řecko.</w:t>
      </w:r>
    </w:p>
    <w:p w14:paraId="5F0FC9B6" w14:textId="77777777" w:rsidR="0062236B" w:rsidRPr="0062236B" w:rsidRDefault="0062236B" w:rsidP="003A5CFD">
      <w:pPr>
        <w:spacing w:line="276" w:lineRule="auto"/>
        <w:jc w:val="both"/>
        <w:rPr>
          <w:rFonts w:ascii="Arial" w:hAnsi="Arial" w:cs="Arial"/>
          <w:b/>
        </w:rPr>
      </w:pPr>
    </w:p>
    <w:p w14:paraId="7BBA2F38" w14:textId="77777777" w:rsidR="003A5CFD" w:rsidRDefault="003A5CFD" w:rsidP="003A5CFD">
      <w:pPr>
        <w:spacing w:line="276" w:lineRule="auto"/>
        <w:jc w:val="both"/>
        <w:rPr>
          <w:rFonts w:ascii="Arial" w:hAnsi="Arial" w:cs="Arial"/>
        </w:rPr>
      </w:pPr>
      <w:r w:rsidRPr="003A5CFD">
        <w:rPr>
          <w:rFonts w:ascii="Arial" w:hAnsi="Arial" w:cs="Arial"/>
        </w:rPr>
        <w:t xml:space="preserve">Index genderové rovnosti je číslo, které určuje, jak si členské státy Unie stojí v oblasti rovnosti pohlaví, skrze podrobné sledování celkem 31 indikátorů, rozdělených do šesti oblastí: práce, peníze, vzdělání, čas, rozhodování, zdraví. V každé z těchto oblastí je sledováno od tří do osmi indikátorů a situaci zemí je tak možné porovnat z hlediska každé oblasti i z hlediska každého jednoho indikátoru zvlášť. </w:t>
      </w:r>
      <w:r w:rsidRPr="009F5E55">
        <w:rPr>
          <w:rFonts w:ascii="Arial" w:hAnsi="Arial" w:cs="Arial"/>
          <w:i/>
        </w:rPr>
        <w:t xml:space="preserve">„Situaci u nás bychom mohli charakterizovat jako zaostávající podprůměr,“ </w:t>
      </w:r>
      <w:r w:rsidRPr="003A5CFD">
        <w:rPr>
          <w:rFonts w:ascii="Arial" w:hAnsi="Arial" w:cs="Arial"/>
        </w:rPr>
        <w:t xml:space="preserve">říká socioložka Alena Křížková ze Sociologického ústavu Akademie věd ČR, která se genderovým nerovnostem věnuje dlouhodobě. „Problematické je, že od doby, kdy se Index vydává, nedošlo u nás vůbec k žádnému pokroku, spíše naopak. Propadáme se na poslední místa mimo jiné proto, že mnoho zemí prostě na vyrovnávání genderových nerovností aktivně pracuje a přijímá opatření, spravedlnost v životních podmínkách žen a mužů se pro ně stala součástí demokratických hodnot,“ dodává Křížková. Jak poznamenala také Evelyn Regner, poslankyně Evropského parlamentu a předsedkyně Komise pro ženská práva a genderovou rovnost, „rovnost nepadá z nebe“. Pokud na ní vlády aktivně nepracují, nic se nemění. </w:t>
      </w:r>
    </w:p>
    <w:p w14:paraId="30B26AF6" w14:textId="77777777" w:rsidR="003A5CFD" w:rsidRPr="003A5CFD" w:rsidRDefault="003A5CFD" w:rsidP="003A5CFD">
      <w:pPr>
        <w:spacing w:line="276" w:lineRule="auto"/>
        <w:jc w:val="both"/>
        <w:rPr>
          <w:rFonts w:ascii="Arial" w:hAnsi="Arial" w:cs="Arial"/>
        </w:rPr>
      </w:pPr>
    </w:p>
    <w:p w14:paraId="47BE1D55" w14:textId="77777777" w:rsidR="003A5CFD" w:rsidRDefault="003A5CFD" w:rsidP="003A5CFD">
      <w:pPr>
        <w:spacing w:line="276" w:lineRule="auto"/>
        <w:jc w:val="both"/>
        <w:rPr>
          <w:rFonts w:ascii="Arial" w:hAnsi="Arial" w:cs="Arial"/>
          <w:b/>
        </w:rPr>
      </w:pPr>
      <w:r w:rsidRPr="003A5CFD">
        <w:rPr>
          <w:rFonts w:ascii="Arial" w:hAnsi="Arial" w:cs="Arial"/>
          <w:b/>
        </w:rPr>
        <w:t>Jak si Česko vede v jednotlivých oblastech:</w:t>
      </w:r>
    </w:p>
    <w:p w14:paraId="63782808" w14:textId="77777777" w:rsidR="003A5CFD" w:rsidRPr="003A5CFD" w:rsidRDefault="003A5CFD" w:rsidP="003A5CFD">
      <w:pPr>
        <w:spacing w:line="276" w:lineRule="auto"/>
        <w:jc w:val="both"/>
        <w:rPr>
          <w:rFonts w:ascii="Arial" w:hAnsi="Arial" w:cs="Arial"/>
          <w:b/>
        </w:rPr>
      </w:pPr>
    </w:p>
    <w:p w14:paraId="13A4B92A" w14:textId="77777777" w:rsidR="003A5CFD" w:rsidRDefault="003A5CFD" w:rsidP="003A5CFD">
      <w:pPr>
        <w:spacing w:line="276" w:lineRule="auto"/>
        <w:ind w:left="284"/>
        <w:jc w:val="both"/>
        <w:rPr>
          <w:rFonts w:ascii="Arial" w:hAnsi="Arial" w:cs="Arial"/>
          <w:i/>
        </w:rPr>
      </w:pPr>
      <w:r w:rsidRPr="003A5CFD">
        <w:rPr>
          <w:rFonts w:ascii="Arial" w:hAnsi="Arial" w:cs="Arial"/>
        </w:rPr>
        <w:t>•</w:t>
      </w:r>
      <w:r w:rsidRPr="003A5CFD">
        <w:rPr>
          <w:rFonts w:ascii="Arial" w:hAnsi="Arial" w:cs="Arial"/>
        </w:rPr>
        <w:tab/>
      </w:r>
      <w:r w:rsidRPr="003A5CFD">
        <w:rPr>
          <w:rFonts w:ascii="Arial" w:hAnsi="Arial" w:cs="Arial"/>
          <w:b/>
        </w:rPr>
        <w:t>Nejhůře ze všech sledovaných oblastí je na tom Česko v</w:t>
      </w:r>
      <w:r w:rsidRPr="003A5CFD">
        <w:rPr>
          <w:rFonts w:ascii="Arial" w:hAnsi="Arial" w:cs="Arial"/>
        </w:rPr>
        <w:t xml:space="preserve"> </w:t>
      </w:r>
      <w:r w:rsidRPr="003A5CFD">
        <w:rPr>
          <w:rFonts w:ascii="Arial" w:hAnsi="Arial" w:cs="Arial"/>
          <w:b/>
        </w:rPr>
        <w:t>oblasti rozhodování</w:t>
      </w:r>
      <w:r w:rsidRPr="003A5CFD">
        <w:rPr>
          <w:rFonts w:ascii="Arial" w:hAnsi="Arial" w:cs="Arial"/>
        </w:rPr>
        <w:t>, kde jsme získali pouhých 27,7 bodů ze 100. V praxi to znamená, že ženy nejsou zastoupeny v téměř žádných rozhodovacích pozicích jak v politice, tak v ekonomice, vědě, médiích i ve sportu. Například v představenstvu České národní banky není jediná žena, velmi nízké zastoupení mají ženy také v Českém olympijském výboru, v radách financujících vědecký výzkum, v Radě pro rozhlasové a televizní vysílání. Nízké zastoupení žen v rozhodovacích pozicích se velmi výrazně projevuje například na opatřeních, která mají zamezit šíření pandemie Covid-19. Ženy sice převládají v pozicích, které pandemii čelí v první linii, tedy ve zdravotnických a pečovatelských profesích, ale zcela chybí tam, kde je možné o způsobu boje s pandemií rozhodnout. Například v poradním orgánu vlády NERV jsou dvě ženy z celkového počtu osmnácti členů.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1603635" w14:textId="77777777" w:rsidR="003A5CFD" w:rsidRDefault="003A5CF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530C60B3" w14:textId="77777777" w:rsidR="003A5CFD" w:rsidRPr="003A5CFD" w:rsidRDefault="003A5CFD" w:rsidP="003A5CFD">
      <w:pPr>
        <w:spacing w:line="276" w:lineRule="auto"/>
        <w:ind w:left="284"/>
        <w:jc w:val="both"/>
        <w:rPr>
          <w:rFonts w:ascii="Arial" w:hAnsi="Arial" w:cs="Arial"/>
        </w:rPr>
      </w:pPr>
      <w:r w:rsidRPr="003A5CFD">
        <w:rPr>
          <w:rFonts w:ascii="Arial" w:hAnsi="Arial" w:cs="Arial"/>
          <w:i/>
        </w:rPr>
        <w:lastRenderedPageBreak/>
        <w:t>„Pokud je cílem rozhodování v oblasti politiky, ekonomiky i v sociální oblasti zlepšit životní podmínky zranitelných a znevýhodněných, nebo minimálně je nezhoršovat, pak je cestou brát v rozhodování v úvahu zkušenost žen, které mezi chudými a zranitelnými skupinami populace převládají. V politice by pomohlo pravidlo zipu v umisťování žen a mužů na kandidátní listiny, které je v jiných zemích již dost běžné. V ekonomice pak nastavení určitého cíle v podílu zastoupení žen na řídicích pozicích a v představenstvech firem a organizací (jako např. 40 % ve Francii a Finsku, 33 % v Belgii a Itálii),“</w:t>
      </w:r>
      <w:r w:rsidRPr="003A5CFD">
        <w:rPr>
          <w:rFonts w:ascii="Arial" w:hAnsi="Arial" w:cs="Arial"/>
        </w:rPr>
        <w:t xml:space="preserve"> vyjmenovává Alena Křížková, jaká opatření již fungují v jiných zemích. </w:t>
      </w:r>
      <w:r w:rsidRPr="003A5CFD">
        <w:rPr>
          <w:rFonts w:ascii="Arial" w:hAnsi="Arial" w:cs="Arial"/>
          <w:i/>
        </w:rPr>
        <w:t>„Stát by měl ženy do řídicích a dozorčích orgánů právnických osob s majetkovou účastí státu aktivně prosazovat,“</w:t>
      </w:r>
      <w:r w:rsidRPr="003A5CFD">
        <w:rPr>
          <w:rFonts w:ascii="Arial" w:hAnsi="Arial" w:cs="Arial"/>
        </w:rPr>
        <w:t xml:space="preserve"> myslí si Křížková. Nelze totiž očekávat, že se situace napraví bez zásahů zvenčí – pozice žen je strukturálně dlouhodobě znevýhodněna třeba tím, že na jejich bedrech je stále naložena většina péče o rodinu a domácnost, zatímco rozhodování často probíhá netransparentně mimo pracovní dobu, neformálně v klubech nebo restauracích atd. Konkrétním příkladem rozhodnutí, které nezohledňuje ženskou zkušenost, je dlouhodobé uzavření škol, které způsobuje doslova nucený návrat žen k plotně. Jisté je, že dlouhodobé negativní dopady této situace pocítí všichni – ženy, muži i děti. </w:t>
      </w:r>
    </w:p>
    <w:p w14:paraId="1CE69DE1" w14:textId="77777777" w:rsidR="003A5CFD" w:rsidRPr="003A5CFD" w:rsidRDefault="003A5CFD" w:rsidP="003A5CFD">
      <w:pPr>
        <w:spacing w:line="276" w:lineRule="auto"/>
        <w:ind w:left="284"/>
        <w:jc w:val="both"/>
        <w:rPr>
          <w:rFonts w:ascii="Arial" w:hAnsi="Arial" w:cs="Arial"/>
        </w:rPr>
      </w:pPr>
      <w:r w:rsidRPr="003A5CFD">
        <w:rPr>
          <w:rFonts w:ascii="Arial" w:hAnsi="Arial" w:cs="Arial"/>
        </w:rPr>
        <w:t>•</w:t>
      </w:r>
      <w:r w:rsidRPr="003A5CFD">
        <w:rPr>
          <w:rFonts w:ascii="Arial" w:hAnsi="Arial" w:cs="Arial"/>
        </w:rPr>
        <w:tab/>
      </w:r>
      <w:r w:rsidRPr="003A5CFD">
        <w:rPr>
          <w:rFonts w:ascii="Arial" w:hAnsi="Arial" w:cs="Arial"/>
          <w:b/>
        </w:rPr>
        <w:t>Velmi špatně si Česko vede také v oblasti času</w:t>
      </w:r>
      <w:r w:rsidRPr="003A5CFD">
        <w:rPr>
          <w:rFonts w:ascii="Arial" w:hAnsi="Arial" w:cs="Arial"/>
        </w:rPr>
        <w:t xml:space="preserve"> na péči, práci v domácnosti a na vlastní individuální aktivity, kde ČR dosáhla pouze 57,3 bodů ze 100. Je zde oproti průměru EU výrazně větší rozdíl mezi podílem žen a podílem mužů, kteří denně o někoho pečují a denně vykonávají domácí práce a/nebo vaří. Naproti tomu více mužů než žen si užívá sportovní, kulturní nebo volnočasové aktivity každý den nebo několikrát týdně. Volnočasové aktivity jsou jako součást </w:t>
      </w:r>
      <w:proofErr w:type="spellStart"/>
      <w:r w:rsidRPr="003A5CFD">
        <w:rPr>
          <w:rFonts w:ascii="Arial" w:hAnsi="Arial" w:cs="Arial"/>
        </w:rPr>
        <w:t>protipandemických</w:t>
      </w:r>
      <w:proofErr w:type="spellEnd"/>
      <w:r w:rsidRPr="003A5CFD">
        <w:rPr>
          <w:rFonts w:ascii="Arial" w:hAnsi="Arial" w:cs="Arial"/>
        </w:rPr>
        <w:t xml:space="preserve"> opatření výrazně omezeny, zatímco potřeba péče a práce v domácnostech výrazně narostla. </w:t>
      </w:r>
      <w:r w:rsidRPr="003A5CFD">
        <w:rPr>
          <w:rFonts w:ascii="Arial" w:hAnsi="Arial" w:cs="Arial"/>
          <w:i/>
        </w:rPr>
        <w:t xml:space="preserve">„Tento nárůst sice představuje potenciál rovnoměrnějšího rozdělení práce a péče mezi partnery, ale ukazuje se, že dochází spíše k jednostrannému nárůstu zátěže žen, a dá se spíše očekávat, že současná vládní opatření mají spíše negativní dopad na prohlubování této nerovnosti v rodinách,“ </w:t>
      </w:r>
      <w:r w:rsidRPr="003A5CFD">
        <w:rPr>
          <w:rFonts w:ascii="Arial" w:hAnsi="Arial" w:cs="Arial"/>
        </w:rPr>
        <w:t xml:space="preserve">dodává Křížková. </w:t>
      </w:r>
    </w:p>
    <w:p w14:paraId="564374F6" w14:textId="77777777" w:rsidR="003A5CFD" w:rsidRDefault="003A5CFD" w:rsidP="003A5CFD">
      <w:pPr>
        <w:spacing w:line="276" w:lineRule="auto"/>
        <w:ind w:left="284"/>
        <w:jc w:val="both"/>
        <w:rPr>
          <w:rFonts w:ascii="Arial" w:hAnsi="Arial" w:cs="Arial"/>
          <w:i/>
        </w:rPr>
      </w:pPr>
      <w:r w:rsidRPr="003A5CFD">
        <w:rPr>
          <w:rFonts w:ascii="Arial" w:hAnsi="Arial" w:cs="Arial"/>
        </w:rPr>
        <w:t>•</w:t>
      </w:r>
      <w:r w:rsidRPr="003A5CFD">
        <w:rPr>
          <w:rFonts w:ascii="Arial" w:hAnsi="Arial" w:cs="Arial"/>
        </w:rPr>
        <w:tab/>
      </w:r>
      <w:r w:rsidRPr="003A5CFD">
        <w:rPr>
          <w:rFonts w:ascii="Arial" w:hAnsi="Arial" w:cs="Arial"/>
          <w:b/>
        </w:rPr>
        <w:t>V oblasti vzdělání dosáhla ČR pouze 58,4 bodů ze 100.</w:t>
      </w:r>
      <w:r w:rsidRPr="003A5CFD">
        <w:rPr>
          <w:rFonts w:ascii="Arial" w:hAnsi="Arial" w:cs="Arial"/>
        </w:rPr>
        <w:t xml:space="preserve"> I když ženy v ČR už v současnosti dosahují v průměru vyššího vzdělání než muži, a proto jsme v této oblasti nedopadli tak špatně, stále máme co dohánět oproti vyspělým zemím EU v počtech absolventů a absolventek vysokoškolského vzdělání. Ještě mnohem více však zaostáváme v dalším indikátoru a tím je velmi nízký podíl žen a mužů v celoživotním vzdělávání. Velkým problémem v této oblasti také je, že ve středoškolském a vysokoškolském studiu jsou ženy koncentrovány v oborech zdravotnictví, péče, vzdělávání a v humanitních oborech, zatímco muži zde chybí a převládají v jiných oborech. Socioložka Hana Maříková ze Sociologického ústavu vysvětluje, proč je tato segregace dle pohlaví problém: </w:t>
      </w:r>
      <w:r w:rsidRPr="003A5CFD">
        <w:rPr>
          <w:rFonts w:ascii="Arial" w:hAnsi="Arial" w:cs="Arial"/>
          <w:i/>
        </w:rPr>
        <w:t xml:space="preserve">„Ženy jsou více než muži ve škole směřovány do těch oborů, kde jsou pak při výkonu daných povolání potřebné dovednosti považované za ‚přirozené‘. Jedná se konkrétně o povolání v oblasti péče a výchovy. Chápání povolání tohoto typu jako pouhého prodloužení ‚přirozených‘ pečujících schopností žen, pro něž není třeba speciální vzdělávání ani zvyšování kvalifikace apod., pak slouží k odůvodnění nižšího finančního ohodnocení těchto povolání. V dlouhodobém důsledku je pak genderová </w:t>
      </w:r>
      <w:proofErr w:type="spellStart"/>
      <w:r w:rsidRPr="003A5CFD">
        <w:rPr>
          <w:rFonts w:ascii="Arial" w:hAnsi="Arial" w:cs="Arial"/>
          <w:i/>
        </w:rPr>
        <w:t>stereotypizace</w:t>
      </w:r>
      <w:proofErr w:type="spellEnd"/>
      <w:r w:rsidRPr="003A5CFD">
        <w:rPr>
          <w:rFonts w:ascii="Arial" w:hAnsi="Arial" w:cs="Arial"/>
          <w:i/>
        </w:rPr>
        <w:t xml:space="preserve"> oborů příčinou nejen mzdového znevýhodnění žen, ale i jejich nižších penzí.“</w:t>
      </w:r>
    </w:p>
    <w:p w14:paraId="74EAF25B" w14:textId="77777777" w:rsidR="003A5CFD" w:rsidRDefault="003A5CF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746089F6" w14:textId="77777777" w:rsidR="003A5CFD" w:rsidRPr="003A5CFD" w:rsidRDefault="003A5CFD" w:rsidP="003A5CFD">
      <w:pPr>
        <w:spacing w:line="276" w:lineRule="auto"/>
        <w:ind w:left="284"/>
        <w:jc w:val="both"/>
        <w:rPr>
          <w:rFonts w:ascii="Arial" w:hAnsi="Arial" w:cs="Arial"/>
        </w:rPr>
      </w:pPr>
      <w:r w:rsidRPr="003A5CFD">
        <w:rPr>
          <w:rFonts w:ascii="Arial" w:hAnsi="Arial" w:cs="Arial"/>
        </w:rPr>
        <w:lastRenderedPageBreak/>
        <w:t>Ve škole by měli být chlapci i dívky vedeni ke svobodnému rozhodování, a ne k na stereotypech založenému výběru studijního oboru a posléze i povolání. Současné uzavření škol k příznivému vývoji rozhodně nepřispívá, protože hrozí nejen zaostávání ve vzdělávání, ale i sociální izolace dětí, nárůst násilí a prohlubování nerovností v životní úrovni domácností, které by mělo školní prostředí spíše smazávat.</w:t>
      </w:r>
    </w:p>
    <w:p w14:paraId="36999AC7" w14:textId="77777777" w:rsidR="003A5CFD" w:rsidRPr="003A5CFD" w:rsidRDefault="003A5CFD" w:rsidP="003A5CFD">
      <w:pPr>
        <w:spacing w:line="276" w:lineRule="auto"/>
        <w:ind w:left="284"/>
        <w:jc w:val="both"/>
        <w:rPr>
          <w:rFonts w:ascii="Arial" w:hAnsi="Arial" w:cs="Arial"/>
        </w:rPr>
      </w:pPr>
      <w:r w:rsidRPr="003A5CFD">
        <w:rPr>
          <w:rFonts w:ascii="Arial" w:hAnsi="Arial" w:cs="Arial"/>
        </w:rPr>
        <w:t>•</w:t>
      </w:r>
      <w:r w:rsidRPr="003A5CFD">
        <w:rPr>
          <w:rFonts w:ascii="Arial" w:hAnsi="Arial" w:cs="Arial"/>
        </w:rPr>
        <w:tab/>
      </w:r>
      <w:r w:rsidRPr="003A5CFD">
        <w:rPr>
          <w:rFonts w:ascii="Arial" w:hAnsi="Arial" w:cs="Arial"/>
          <w:b/>
        </w:rPr>
        <w:t>V oblasti práce si ČR stojí celkem dobře</w:t>
      </w:r>
      <w:r w:rsidRPr="003A5CFD">
        <w:rPr>
          <w:rFonts w:ascii="Arial" w:hAnsi="Arial" w:cs="Arial"/>
        </w:rPr>
        <w:t xml:space="preserve">, a to především díky jedinému indikátoru, kde převyšuje průměr EU – míře zaměstnanosti na přepočet plných úvazků. Tato míra u žen (49 %) i u mužů (67 %) je výrazně vyšší než průměr EU (42 % žen a 57 % mužů). Nemusí to ale nutně znamenat větší rovnost v zaměstnávání, částečně je to také způsobeno nízkou dostupností flexibilních forem práce. Pokud ženy pracují, pak na plné úvazky, protože jiné prostě nejsou – a to se negativně projevuje v jiných oblastech, například ve složitosti návratu na trh práce po rodičovské. Ženy tak kvůli nemožnosti sladit práci a péči častěji končí v </w:t>
      </w:r>
      <w:proofErr w:type="spellStart"/>
      <w:r w:rsidRPr="003A5CFD">
        <w:rPr>
          <w:rFonts w:ascii="Arial" w:hAnsi="Arial" w:cs="Arial"/>
        </w:rPr>
        <w:t>prekarizovaných</w:t>
      </w:r>
      <w:proofErr w:type="spellEnd"/>
      <w:r w:rsidRPr="003A5CFD">
        <w:rPr>
          <w:rFonts w:ascii="Arial" w:hAnsi="Arial" w:cs="Arial"/>
        </w:rPr>
        <w:t xml:space="preserve"> pozicích, s nižšími výdělky a to se pak následně promítne do nižších důchodů. </w:t>
      </w:r>
      <w:r w:rsidRPr="003A5CFD">
        <w:rPr>
          <w:rFonts w:ascii="Arial" w:hAnsi="Arial" w:cs="Arial"/>
          <w:i/>
        </w:rPr>
        <w:t xml:space="preserve">„Česko je na tom špatně z hlediska flexibility a autonomie v práci. To se opět projevuje v současném nouzovém stavu, kdy vláda nařizuje práci na dálku. Pokud by se ze současné situace zaměstnavatelé poučili a na flexibilitu kladli větší důraz, byl by tu potenciál pro zlepšení situace pro pracující rodiče. Je ale potřeba, aby ta podpora směřovala ve stejné míře i na muže, aby i pro ně byly běžné zkrácené úvazky, například kvůli péči o děti,“ </w:t>
      </w:r>
      <w:r w:rsidRPr="003A5CFD">
        <w:rPr>
          <w:rFonts w:ascii="Arial" w:hAnsi="Arial" w:cs="Arial"/>
        </w:rPr>
        <w:t xml:space="preserve">komentuje oblast práce Alena Křížková. </w:t>
      </w:r>
    </w:p>
    <w:p w14:paraId="3DD39A3C" w14:textId="77777777" w:rsidR="003A5CFD" w:rsidRDefault="003A5CFD" w:rsidP="003A5CFD">
      <w:pPr>
        <w:spacing w:line="276" w:lineRule="auto"/>
        <w:ind w:left="284"/>
        <w:jc w:val="both"/>
        <w:rPr>
          <w:rFonts w:ascii="Arial" w:hAnsi="Arial" w:cs="Arial"/>
        </w:rPr>
      </w:pPr>
      <w:r w:rsidRPr="003A5CFD">
        <w:rPr>
          <w:rFonts w:ascii="Arial" w:hAnsi="Arial" w:cs="Arial"/>
        </w:rPr>
        <w:t>•</w:t>
      </w:r>
      <w:r w:rsidRPr="003A5CFD">
        <w:rPr>
          <w:rFonts w:ascii="Arial" w:hAnsi="Arial" w:cs="Arial"/>
        </w:rPr>
        <w:tab/>
      </w:r>
      <w:r w:rsidRPr="003A5CFD">
        <w:rPr>
          <w:rFonts w:ascii="Arial" w:hAnsi="Arial" w:cs="Arial"/>
          <w:b/>
        </w:rPr>
        <w:t>Nerovnosti na trhu práce se logicky významně promítají do oblasti peněz</w:t>
      </w:r>
      <w:r w:rsidRPr="003A5CFD">
        <w:rPr>
          <w:rFonts w:ascii="Arial" w:hAnsi="Arial" w:cs="Arial"/>
        </w:rPr>
        <w:t xml:space="preserve">. V té se sledují indikátory rovnosti v odměňování a ohrožení chudobou. Rozdíl mezi mzdami žen a mužů za stejnou práci na stejné pozici je v ČR dlouhodobě jeden z nejvyšších v EU. Přispívá k tomu několik faktorů: nerovnoměrné zastoupení v jednotlivých sektorech ekonomiky (ženy pracují častěji v méně hodnocených profesích), netransparentní způsob odměňování v soukromé i státní sféře a dlouhodobá diskriminace žen na trhu práce. Česko je na tom poměrně dobře v oblasti obecného ohrožení chudobou (zde jsme na tom naopak skoro nejlépe v celé EU), ale počínající ekonomická krize na tom může leccos změnit a ohroženy pak budou ty nejzranitelnější, již nyní nejvíce postižené skupiny, mezi kterými opět převažují ženy – matky samoživitelky, důchodkyně, migrantky, ale také lidé v exekucích, včetně zadlužených dětí a dospívajících. Například u matek samoživitelek, migrantek v podnikatelské sféře nebo v sektoru péče je nyní poměrně velká pravděpodobnost, že přijdou o práci, zároveň nemají vždy možnost čerpat sociální dávky. </w:t>
      </w:r>
      <w:r w:rsidRPr="003A5CFD">
        <w:rPr>
          <w:rFonts w:ascii="Arial" w:hAnsi="Arial" w:cs="Arial"/>
          <w:i/>
        </w:rPr>
        <w:t xml:space="preserve">„Pokud nebudou současně s </w:t>
      </w:r>
      <w:proofErr w:type="spellStart"/>
      <w:r w:rsidRPr="003A5CFD">
        <w:rPr>
          <w:rFonts w:ascii="Arial" w:hAnsi="Arial" w:cs="Arial"/>
          <w:i/>
        </w:rPr>
        <w:t>protipandemickými</w:t>
      </w:r>
      <w:proofErr w:type="spellEnd"/>
      <w:r w:rsidRPr="003A5CFD">
        <w:rPr>
          <w:rFonts w:ascii="Arial" w:hAnsi="Arial" w:cs="Arial"/>
          <w:i/>
        </w:rPr>
        <w:t xml:space="preserve"> opatřeními přijímána také opatření, která zabrání těmto lidem spadnout do chudoby, jako třeba náhradní výživné, zkrácení lhůt a zjednodušení žádostí o dávky, oddlužování a cílená podpora nízkopříjmových domácností, tak dojde k výraznému nárůstu chudoby u žen a dětí. Tito lidé se často drží nad propastí chudoby skrze prekérní zaměstnání, ale ta jsou právě momentálně nejvíce ohrožená,“ </w:t>
      </w:r>
      <w:r w:rsidRPr="003A5CFD">
        <w:rPr>
          <w:rFonts w:ascii="Arial" w:hAnsi="Arial" w:cs="Arial"/>
        </w:rPr>
        <w:t xml:space="preserve">vysvětluje Křížková.  </w:t>
      </w:r>
    </w:p>
    <w:p w14:paraId="79D0D6BF" w14:textId="77777777" w:rsidR="003A5CFD" w:rsidRDefault="003A5CF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CB4D41" w14:textId="77777777" w:rsidR="003A5CFD" w:rsidRPr="003A5CFD" w:rsidRDefault="003A5CFD" w:rsidP="003A5CFD">
      <w:pPr>
        <w:spacing w:line="276" w:lineRule="auto"/>
        <w:ind w:left="284"/>
        <w:jc w:val="both"/>
        <w:rPr>
          <w:rFonts w:ascii="Arial" w:hAnsi="Arial" w:cs="Arial"/>
        </w:rPr>
      </w:pPr>
      <w:r w:rsidRPr="003A5CFD">
        <w:rPr>
          <w:rFonts w:ascii="Arial" w:hAnsi="Arial" w:cs="Arial"/>
        </w:rPr>
        <w:lastRenderedPageBreak/>
        <w:t>•</w:t>
      </w:r>
      <w:r w:rsidRPr="003A5CFD">
        <w:rPr>
          <w:rFonts w:ascii="Arial" w:hAnsi="Arial" w:cs="Arial"/>
        </w:rPr>
        <w:tab/>
      </w:r>
      <w:r w:rsidRPr="003A5CFD">
        <w:rPr>
          <w:rFonts w:ascii="Arial" w:hAnsi="Arial" w:cs="Arial"/>
          <w:b/>
        </w:rPr>
        <w:t>Povzbudivou zprávu nakonec přináší oblast zdraví</w:t>
      </w:r>
      <w:r w:rsidRPr="003A5CFD">
        <w:rPr>
          <w:rFonts w:ascii="Arial" w:hAnsi="Arial" w:cs="Arial"/>
        </w:rPr>
        <w:t xml:space="preserve">, ve které ČR získala nejvíce, 86,3 bodů ze 100. Ani tady to ale není jednoznačné. V ČR je podprůměrný podíl žen i mužů, kteří se těší dobrému zdraví, jsme pod průměrem EU také v očekávané délce života a mírně podprůměrně jsme na tom i z hlediska zdravého životního stylu. Ale dosahujeme dokonce páté nejvyšší příčky z hlediska dostupnosti zdravotní péče. To je důležitá pozitivní zpráva v době, kdy české zdravotnictví prochází díky pandemii zatěžkávací zkouškou, kterou zatím ustálo. A pak jsou také oblasti úzce spojené s oblastí zdraví, které index zatím nesleduje, protože k nim nemá dostatek údajů, a zaměří se na ně až v budoucnu a které by nám mohly dobré skóre v této oblasti snadno zkazit – například míra násilí na ženách. Informace od podpůrných organizací pro oběti násilí na ženách ukazují, že v době omezení pohybu osob výskyt a brutalita násilí narůstá a vzrůstá i podíl neřešených a nedostatečně řešených případů. </w:t>
      </w:r>
    </w:p>
    <w:p w14:paraId="215F97CC" w14:textId="77777777" w:rsidR="003A5CFD" w:rsidRPr="003A5CFD" w:rsidRDefault="003A5CFD" w:rsidP="003A5CFD">
      <w:pPr>
        <w:spacing w:line="276" w:lineRule="auto"/>
        <w:jc w:val="both"/>
        <w:rPr>
          <w:rFonts w:ascii="Arial" w:hAnsi="Arial" w:cs="Arial"/>
        </w:rPr>
      </w:pPr>
      <w:r w:rsidRPr="003A5CFD">
        <w:rPr>
          <w:rFonts w:ascii="Arial" w:hAnsi="Arial" w:cs="Arial"/>
        </w:rPr>
        <w:t xml:space="preserve">Index genderové rovnosti by měl být v Česku významným příspěvkem k diskusi o </w:t>
      </w:r>
      <w:proofErr w:type="spellStart"/>
      <w:r w:rsidRPr="003A5CFD">
        <w:rPr>
          <w:rFonts w:ascii="Arial" w:hAnsi="Arial" w:cs="Arial"/>
        </w:rPr>
        <w:t>protipandemických</w:t>
      </w:r>
      <w:proofErr w:type="spellEnd"/>
      <w:r w:rsidRPr="003A5CFD">
        <w:rPr>
          <w:rFonts w:ascii="Arial" w:hAnsi="Arial" w:cs="Arial"/>
        </w:rPr>
        <w:t xml:space="preserve"> opatřeních a indikátory v něm sledované by měly hrát roli v dalším rozhodování. V současné chvíli klademe velký důraz na fyzické zdravotní dopady a makroekonomické ztráty, ale oblast psychických a sociálních dopadů – kde opět trpí hlavně ženy a děti – zůstává podceněná. </w:t>
      </w:r>
      <w:r w:rsidRPr="003A5CFD">
        <w:rPr>
          <w:rFonts w:ascii="Arial" w:hAnsi="Arial" w:cs="Arial"/>
          <w:i/>
        </w:rPr>
        <w:t>„Pokud to nebudeme řešit, je téměř jisté, že dojde k prohloubení nerovností a existenčních problémů zranitelných skupin populace,“</w:t>
      </w:r>
      <w:r w:rsidRPr="003A5CFD">
        <w:rPr>
          <w:rFonts w:ascii="Arial" w:hAnsi="Arial" w:cs="Arial"/>
        </w:rPr>
        <w:t xml:space="preserve"> upozorňuje Křížková. </w:t>
      </w:r>
    </w:p>
    <w:p w14:paraId="6B4F3723" w14:textId="77777777" w:rsidR="0062236B" w:rsidRPr="0062236B" w:rsidRDefault="003A5CFD" w:rsidP="003A5CFD">
      <w:pPr>
        <w:spacing w:line="276" w:lineRule="auto"/>
        <w:jc w:val="both"/>
        <w:rPr>
          <w:rFonts w:ascii="Arial" w:hAnsi="Arial" w:cs="Arial"/>
          <w:b/>
        </w:rPr>
      </w:pPr>
      <w:r w:rsidRPr="003A5CFD">
        <w:rPr>
          <w:rFonts w:ascii="Arial" w:hAnsi="Arial" w:cs="Arial"/>
        </w:rPr>
        <w:t>Pandemie Covid-19 nám tak v důsledku ukazuje, jak je ekonomická, sociální a genderová rovina propojená. Pokud se na rozhodování o opatřeních a komentování současné krize nepodílí ženy, vypadávají z diskuse zásadní témata a neřeší se pozice těch nejslabších a nejzranitelnějších. Konkrétním projevem je nesystematické, nedomyšlené a málo diskutované uzavírání škol, ke kterému ČR přistupuje jako skoro jediná v EU. Prodlužování distanční výuky zejména na základních školách bude znamenat dlouhodobé negativní dopady jak na postavení žen na trhu práce a životní úroveň jejich domácností, tak na psychický a kognitivní vývoj dětí.</w:t>
      </w:r>
    </w:p>
    <w:p w14:paraId="5903253C" w14:textId="77777777" w:rsidR="0062236B" w:rsidRDefault="0062236B" w:rsidP="003A5CFD">
      <w:pPr>
        <w:spacing w:line="276" w:lineRule="auto"/>
        <w:jc w:val="both"/>
        <w:rPr>
          <w:rFonts w:ascii="Arial" w:hAnsi="Arial" w:cs="Arial"/>
          <w:b/>
        </w:rPr>
      </w:pPr>
    </w:p>
    <w:p w14:paraId="68B861CF" w14:textId="77777777" w:rsidR="003A5CFD" w:rsidRPr="0062236B" w:rsidRDefault="003A5CFD" w:rsidP="003A5CFD">
      <w:pPr>
        <w:spacing w:line="276" w:lineRule="auto"/>
        <w:jc w:val="both"/>
        <w:rPr>
          <w:rFonts w:ascii="Arial" w:hAnsi="Arial" w:cs="Arial"/>
          <w:b/>
        </w:rPr>
      </w:pPr>
    </w:p>
    <w:p w14:paraId="048D3B70" w14:textId="77777777" w:rsidR="003A5CFD" w:rsidRPr="0062236B" w:rsidRDefault="0062236B" w:rsidP="003A5CFD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62236B">
        <w:rPr>
          <w:rFonts w:ascii="Arial" w:hAnsi="Arial" w:cs="Arial"/>
          <w:b/>
          <w:sz w:val="24"/>
        </w:rPr>
        <w:t>Kontakt</w:t>
      </w:r>
    </w:p>
    <w:p w14:paraId="392DE71E" w14:textId="77777777" w:rsidR="003A5CFD" w:rsidRDefault="003A5CFD" w:rsidP="003A5CFD">
      <w:pPr>
        <w:spacing w:line="276" w:lineRule="auto"/>
        <w:rPr>
          <w:rFonts w:ascii="Arial" w:hAnsi="Arial" w:cs="Arial"/>
        </w:rPr>
      </w:pPr>
      <w:r w:rsidRPr="003A5CFD">
        <w:rPr>
          <w:rFonts w:ascii="Arial" w:hAnsi="Arial" w:cs="Arial"/>
        </w:rPr>
        <w:t>Marie Heřmanová</w:t>
      </w:r>
      <w:r>
        <w:rPr>
          <w:rFonts w:ascii="Arial" w:hAnsi="Arial" w:cs="Arial"/>
        </w:rPr>
        <w:t xml:space="preserve">, </w:t>
      </w:r>
      <w:r w:rsidRPr="003A5CFD">
        <w:rPr>
          <w:rFonts w:ascii="Arial" w:hAnsi="Arial" w:cs="Arial"/>
        </w:rPr>
        <w:t xml:space="preserve">oddělení Gender a sociologie, </w:t>
      </w:r>
      <w:r>
        <w:rPr>
          <w:rFonts w:ascii="Arial" w:hAnsi="Arial" w:cs="Arial"/>
        </w:rPr>
        <w:t xml:space="preserve">e-mail: </w:t>
      </w:r>
      <w:hyperlink r:id="rId11" w:history="1">
        <w:r w:rsidRPr="003E434E">
          <w:rPr>
            <w:rStyle w:val="Hypertextovodkaz"/>
            <w:rFonts w:ascii="Arial" w:hAnsi="Arial" w:cs="Arial"/>
          </w:rPr>
          <w:t>marie.hermanova@soc.cas.cz</w:t>
        </w:r>
      </w:hyperlink>
    </w:p>
    <w:p w14:paraId="310842EA" w14:textId="77777777" w:rsidR="003A5CFD" w:rsidRPr="0062236B" w:rsidRDefault="003A5CFD" w:rsidP="003A5CFD">
      <w:pPr>
        <w:spacing w:line="276" w:lineRule="auto"/>
        <w:rPr>
          <w:rFonts w:ascii="Arial" w:hAnsi="Arial" w:cs="Arial"/>
          <w:b/>
        </w:rPr>
      </w:pPr>
      <w:r w:rsidRPr="003A5CFD">
        <w:rPr>
          <w:rFonts w:ascii="Arial" w:hAnsi="Arial" w:cs="Arial"/>
        </w:rPr>
        <w:t>Alena Křížková</w:t>
      </w:r>
      <w:r>
        <w:rPr>
          <w:rFonts w:ascii="Arial" w:hAnsi="Arial" w:cs="Arial"/>
        </w:rPr>
        <w:t xml:space="preserve">, </w:t>
      </w:r>
      <w:r w:rsidRPr="003A5CFD">
        <w:rPr>
          <w:rFonts w:ascii="Arial" w:hAnsi="Arial" w:cs="Arial"/>
        </w:rPr>
        <w:t>oddělení Gender a sociologie</w:t>
      </w:r>
      <w:r>
        <w:rPr>
          <w:rFonts w:ascii="Arial" w:hAnsi="Arial" w:cs="Arial"/>
        </w:rPr>
        <w:t xml:space="preserve">, e-mail: </w:t>
      </w:r>
      <w:hyperlink r:id="rId12" w:history="1">
        <w:r w:rsidRPr="003E434E">
          <w:rPr>
            <w:rStyle w:val="Hypertextovodkaz"/>
            <w:rFonts w:ascii="Arial" w:hAnsi="Arial" w:cs="Arial"/>
          </w:rPr>
          <w:t>alena.krizkova@soc.cas.cz</w:t>
        </w:r>
      </w:hyperlink>
    </w:p>
    <w:p w14:paraId="24FBDCC2" w14:textId="77777777" w:rsidR="001360AD" w:rsidRPr="001360AD" w:rsidRDefault="001360AD" w:rsidP="003A5CFD">
      <w:pPr>
        <w:jc w:val="both"/>
        <w:rPr>
          <w:rFonts w:ascii="Arial" w:hAnsi="Arial" w:cs="Arial"/>
        </w:rPr>
      </w:pPr>
    </w:p>
    <w:p w14:paraId="6D50B878" w14:textId="77777777" w:rsidR="001360AD" w:rsidRPr="001360AD" w:rsidRDefault="001360AD" w:rsidP="003A5CFD">
      <w:pPr>
        <w:jc w:val="both"/>
        <w:rPr>
          <w:rFonts w:ascii="Arial" w:hAnsi="Arial" w:cs="Arial"/>
        </w:rPr>
      </w:pPr>
    </w:p>
    <w:p w14:paraId="4CC1C410" w14:textId="77777777" w:rsidR="001360AD" w:rsidRDefault="001360AD" w:rsidP="003A5CFD">
      <w:pPr>
        <w:jc w:val="both"/>
        <w:rPr>
          <w:rFonts w:ascii="Arial" w:hAnsi="Arial" w:cs="Arial"/>
        </w:rPr>
      </w:pPr>
    </w:p>
    <w:p w14:paraId="408B6604" w14:textId="77777777" w:rsidR="00A875F3" w:rsidRPr="001360AD" w:rsidRDefault="00A875F3" w:rsidP="003A5CFD">
      <w:pPr>
        <w:jc w:val="both"/>
        <w:rPr>
          <w:rFonts w:ascii="Arial" w:hAnsi="Arial" w:cs="Arial"/>
        </w:rPr>
      </w:pPr>
    </w:p>
    <w:sectPr w:rsidR="00A875F3" w:rsidRPr="001360AD" w:rsidSect="0062236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8" w:right="1134" w:bottom="1418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B6771" w14:textId="77777777" w:rsidR="0047492A" w:rsidRDefault="0047492A" w:rsidP="00B526FA">
      <w:pPr>
        <w:spacing w:after="0" w:line="240" w:lineRule="auto"/>
      </w:pPr>
      <w:r>
        <w:separator/>
      </w:r>
    </w:p>
  </w:endnote>
  <w:endnote w:type="continuationSeparator" w:id="0">
    <w:p w14:paraId="4B570965" w14:textId="77777777" w:rsidR="0047492A" w:rsidRDefault="0047492A" w:rsidP="00B5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6A362" w14:textId="77777777" w:rsidR="008A5034" w:rsidRDefault="008A50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900"/>
      <w:gridCol w:w="2892"/>
    </w:tblGrid>
    <w:tr w:rsidR="00346C0E" w:rsidRPr="0026504F" w14:paraId="1564FE6F" w14:textId="77777777" w:rsidTr="0026504F">
      <w:trPr>
        <w:trHeight w:val="851"/>
      </w:trPr>
      <w:tc>
        <w:tcPr>
          <w:tcW w:w="3280" w:type="dxa"/>
        </w:tcPr>
        <w:p w14:paraId="0C025420" w14:textId="77777777" w:rsidR="001360AD" w:rsidRPr="0026504F" w:rsidRDefault="001360AD" w:rsidP="001360AD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Sociologický ústav AV ČR, v.</w:t>
          </w:r>
          <w:r w:rsidR="008A5034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v.</w:t>
          </w:r>
          <w:r w:rsidR="008A5034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i.</w:t>
          </w:r>
        </w:p>
        <w:p w14:paraId="506206FF" w14:textId="77777777" w:rsidR="001360AD" w:rsidRDefault="001360AD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>
            <w:rPr>
              <w:rFonts w:ascii="Arial" w:hAnsi="Arial" w:cs="Arial"/>
              <w:color w:val="0072B6"/>
              <w:sz w:val="20"/>
              <w:szCs w:val="20"/>
            </w:rPr>
            <w:t>Tiskové a ediční oddělení</w:t>
          </w:r>
        </w:p>
        <w:p w14:paraId="5BB34764" w14:textId="77777777" w:rsidR="00346C0E" w:rsidRPr="0026504F" w:rsidRDefault="00346C0E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Jilská </w:t>
          </w:r>
          <w:r w:rsidR="008A5034">
            <w:rPr>
              <w:rFonts w:ascii="Arial" w:hAnsi="Arial" w:cs="Arial"/>
              <w:color w:val="0072B6"/>
              <w:sz w:val="20"/>
              <w:szCs w:val="20"/>
            </w:rPr>
            <w:t>361/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1, 110 00 Praha 1</w:t>
          </w:r>
        </w:p>
        <w:p w14:paraId="07C6B09B" w14:textId="77777777" w:rsidR="00346C0E" w:rsidRPr="0026504F" w:rsidRDefault="00346C0E" w:rsidP="0050051C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IČ: 68378025</w:t>
          </w:r>
          <w:r w:rsidR="0050051C"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 DIČ: CZ68378025</w:t>
          </w:r>
        </w:p>
      </w:tc>
      <w:tc>
        <w:tcPr>
          <w:tcW w:w="2900" w:type="dxa"/>
        </w:tcPr>
        <w:p w14:paraId="6C71E5A6" w14:textId="77777777" w:rsidR="00346C0E" w:rsidRPr="0026504F" w:rsidRDefault="00346C0E" w:rsidP="001360AD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T: +420 210 310 </w:t>
          </w:r>
          <w:r w:rsidR="001360AD">
            <w:rPr>
              <w:rFonts w:ascii="Arial" w:hAnsi="Arial" w:cs="Arial"/>
              <w:color w:val="0072B6"/>
              <w:sz w:val="20"/>
              <w:szCs w:val="20"/>
            </w:rPr>
            <w:t>596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br/>
            <w:t xml:space="preserve">E: </w:t>
          </w:r>
          <w:r w:rsidR="001360AD">
            <w:rPr>
              <w:rFonts w:ascii="Arial" w:hAnsi="Arial" w:cs="Arial"/>
              <w:color w:val="0072B6"/>
              <w:sz w:val="20"/>
              <w:szCs w:val="20"/>
            </w:rPr>
            <w:t>tiskove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@soc.cas.cz</w:t>
          </w:r>
        </w:p>
      </w:tc>
      <w:tc>
        <w:tcPr>
          <w:tcW w:w="2892" w:type="dxa"/>
        </w:tcPr>
        <w:sdt>
          <w:sdtPr>
            <w:rPr>
              <w:rFonts w:ascii="Arial" w:hAnsi="Arial" w:cs="Arial"/>
              <w:color w:val="0072B6"/>
              <w:sz w:val="20"/>
              <w:szCs w:val="20"/>
            </w:rPr>
            <w:id w:val="-3689473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color w:val="0072B6"/>
                  <w:sz w:val="20"/>
                  <w:szCs w:val="20"/>
                </w:rPr>
                <w:id w:val="-11708712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68840C1C" w14:textId="77777777" w:rsidR="0026504F" w:rsidRDefault="0026504F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</w:p>
                <w:p w14:paraId="2CD18349" w14:textId="77777777" w:rsidR="00346C0E" w:rsidRPr="0026504F" w:rsidRDefault="00346C0E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  <w:r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 xml:space="preserve">Strana 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PAGE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9F5E55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2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  <w:r w:rsidR="008147C7"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>/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NUMPAGES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9F5E55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4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  <w:p w14:paraId="7CA65DAF" w14:textId="77777777" w:rsidR="00346C0E" w:rsidRPr="0026504F" w:rsidRDefault="00346C0E" w:rsidP="00B526FA">
          <w:pPr>
            <w:rPr>
              <w:rFonts w:ascii="Arial" w:hAnsi="Arial" w:cs="Arial"/>
              <w:color w:val="0072B6"/>
              <w:sz w:val="20"/>
              <w:szCs w:val="20"/>
            </w:rPr>
          </w:pPr>
        </w:p>
      </w:tc>
    </w:tr>
  </w:tbl>
  <w:p w14:paraId="5E81A58A" w14:textId="77777777" w:rsidR="00B526FA" w:rsidRPr="0026504F" w:rsidRDefault="0062236B">
    <w:pPr>
      <w:pStyle w:val="Zpat"/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EE27B77" wp14:editId="11A75BE6">
          <wp:simplePos x="0" y="0"/>
          <wp:positionH relativeFrom="column">
            <wp:posOffset>1967230</wp:posOffset>
          </wp:positionH>
          <wp:positionV relativeFrom="paragraph">
            <wp:posOffset>-1082675</wp:posOffset>
          </wp:positionV>
          <wp:extent cx="4225925" cy="1054735"/>
          <wp:effectExtent l="0" t="0" r="3175" b="0"/>
          <wp:wrapNone/>
          <wp:docPr id="1" name="Obrázek 1" descr="vek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k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592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15A2E" w14:textId="77777777" w:rsidR="008A5034" w:rsidRDefault="008A50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E5DE6" w14:textId="77777777" w:rsidR="0047492A" w:rsidRDefault="0047492A" w:rsidP="00B526FA">
      <w:pPr>
        <w:spacing w:after="0" w:line="240" w:lineRule="auto"/>
      </w:pPr>
      <w:r>
        <w:separator/>
      </w:r>
    </w:p>
  </w:footnote>
  <w:footnote w:type="continuationSeparator" w:id="0">
    <w:p w14:paraId="27BCCDE2" w14:textId="77777777" w:rsidR="0047492A" w:rsidRDefault="0047492A" w:rsidP="00B5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CBFF" w14:textId="77777777" w:rsidR="008A5034" w:rsidRDefault="008A50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42BD3" w14:textId="77777777" w:rsidR="00282864" w:rsidRDefault="0062236B" w:rsidP="00282864">
    <w:pPr>
      <w:jc w:val="righ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9B4A8A1" wp14:editId="22B618CF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2764155" cy="673100"/>
          <wp:effectExtent l="0" t="0" r="0" b="0"/>
          <wp:wrapNone/>
          <wp:docPr id="2" name="Obrázek 2" descr="logo_S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155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864">
      <w:tab/>
    </w:r>
    <w:r w:rsidR="00282864">
      <w:tab/>
    </w:r>
  </w:p>
  <w:p w14:paraId="1B423EC2" w14:textId="77777777" w:rsidR="00346C0E" w:rsidRDefault="0062236B" w:rsidP="00282864">
    <w:pPr>
      <w:jc w:val="right"/>
    </w:pPr>
    <w:r>
      <w:rPr>
        <w:rFonts w:ascii="Arial" w:hAnsi="Arial" w:cs="Arial"/>
        <w:b/>
        <w:color w:val="0072B6"/>
        <w:sz w:val="24"/>
      </w:rPr>
      <w:br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2FF9D" w14:textId="77777777" w:rsidR="008A5034" w:rsidRDefault="008A50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F3"/>
    <w:rsid w:val="000D3B8E"/>
    <w:rsid w:val="000F000E"/>
    <w:rsid w:val="001360AD"/>
    <w:rsid w:val="00230D72"/>
    <w:rsid w:val="0026504F"/>
    <w:rsid w:val="00282864"/>
    <w:rsid w:val="00346C0E"/>
    <w:rsid w:val="00353A8B"/>
    <w:rsid w:val="003A5CFD"/>
    <w:rsid w:val="004131D1"/>
    <w:rsid w:val="00414B6D"/>
    <w:rsid w:val="0047303C"/>
    <w:rsid w:val="0047492A"/>
    <w:rsid w:val="0050051C"/>
    <w:rsid w:val="0062236B"/>
    <w:rsid w:val="0063642B"/>
    <w:rsid w:val="00654AA9"/>
    <w:rsid w:val="008147C7"/>
    <w:rsid w:val="008A5034"/>
    <w:rsid w:val="00933863"/>
    <w:rsid w:val="009F5E55"/>
    <w:rsid w:val="00A875F3"/>
    <w:rsid w:val="00B526FA"/>
    <w:rsid w:val="00BC6B14"/>
    <w:rsid w:val="00CF2475"/>
    <w:rsid w:val="00E20775"/>
    <w:rsid w:val="00E613A8"/>
    <w:rsid w:val="00E967CE"/>
    <w:rsid w:val="00ED6EC9"/>
    <w:rsid w:val="00FA268E"/>
    <w:rsid w:val="00FB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24B42D"/>
  <w15:chartTrackingRefBased/>
  <w15:docId w15:val="{6CD1A974-79A7-4924-ADCB-921F1728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qFormat/>
    <w:rsid w:val="00A875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0"/>
      <w:szCs w:val="1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875F3"/>
    <w:rPr>
      <w:rFonts w:ascii="Arial" w:eastAsia="Arial" w:hAnsi="Arial" w:cs="Arial"/>
      <w:sz w:val="10"/>
      <w:szCs w:val="10"/>
      <w:lang w:val="en-US"/>
    </w:rPr>
  </w:style>
  <w:style w:type="paragraph" w:styleId="Zhlav">
    <w:name w:val="header"/>
    <w:basedOn w:val="Normln"/>
    <w:link w:val="Zhlav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6FA"/>
  </w:style>
  <w:style w:type="paragraph" w:styleId="Zpat">
    <w:name w:val="footer"/>
    <w:basedOn w:val="Normln"/>
    <w:link w:val="Zpat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6FA"/>
  </w:style>
  <w:style w:type="character" w:styleId="Hypertextovodkaz">
    <w:name w:val="Hyperlink"/>
    <w:basedOn w:val="Standardnpsmoodstavce"/>
    <w:uiPriority w:val="99"/>
    <w:unhideWhenUsed/>
    <w:rsid w:val="00B526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ena.krizkova@soc.cas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e.hermanova@soc.cas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eige.europa.eu/gender-equality-index/2020/CZ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28EC5-AE94-4832-B3DA-0E766F203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28D14-23E0-48E4-8549-2399E058C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571F9-5D97-48B9-A31F-4411AD454FF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96f7a21-1047-42d4-8cb0-ea7ebf058f9f"/>
    <ds:schemaRef ds:uri="ec94cc93-81be-401c-abc3-e93253b1d12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B6AFCB-F3AE-4ACD-AA56-D723FB1A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1716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filip.lachmann</dc:creator>
  <cp:keywords/>
  <dc:description/>
  <cp:lastModifiedBy>Růžičková Markéta</cp:lastModifiedBy>
  <cp:revision>2</cp:revision>
  <cp:lastPrinted>2018-09-24T09:40:00Z</cp:lastPrinted>
  <dcterms:created xsi:type="dcterms:W3CDTF">2020-11-11T05:57:00Z</dcterms:created>
  <dcterms:modified xsi:type="dcterms:W3CDTF">2020-11-11T05:57:00Z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