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DE7" w:rsidRPr="00961EE2" w:rsidRDefault="00961EE2" w:rsidP="00961EE2">
      <w:pPr>
        <w:spacing w:before="27" w:line="256" w:lineRule="auto"/>
        <w:ind w:right="86"/>
        <w:rPr>
          <w:b/>
        </w:rPr>
      </w:pPr>
      <w:bookmarkStart w:id="0" w:name="_GoBack"/>
      <w:r w:rsidRPr="00961EE2">
        <w:rPr>
          <w:b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2853055</wp:posOffset>
            </wp:positionH>
            <wp:positionV relativeFrom="paragraph">
              <wp:posOffset>-239395</wp:posOffset>
            </wp:positionV>
            <wp:extent cx="2586355" cy="3136900"/>
            <wp:effectExtent l="838200" t="0" r="956945" b="44450"/>
            <wp:wrapNone/>
            <wp:docPr id="2" name="Obrázek 2" descr="F:\KUBA 1-10-práce\žena a muž - pla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KUBA 1-10-práce\žena a muž - plat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355" cy="3136900"/>
                    </a:xfrm>
                    <a:prstGeom prst="rect">
                      <a:avLst/>
                    </a:prstGeom>
                    <a:noFill/>
                    <a:ln w="34925">
                      <a:solidFill>
                        <a:srgbClr val="FFFFFF"/>
                      </a:solidFill>
                    </a:ln>
                    <a:effectLst>
                      <a:outerShdw blurRad="317500" dir="2700000" algn="ctr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2700000">
                        <a:rot lat="19086000" lon="19067999" rev="3108000"/>
                      </a:camera>
                      <a:lightRig rig="threePt" dir="t">
                        <a:rot lat="0" lon="0" rev="0"/>
                      </a:lightRig>
                    </a:scene3d>
                    <a:sp3d extrusionH="38100" prstMaterial="clear">
                      <a:bevelT w="260350" h="50800" prst="softRound"/>
                      <a:bevelB prst="softRound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961EE2">
        <w:rPr>
          <w:b/>
        </w:rPr>
        <w:t>Analysis of the Action Plan on gender equality</w:t>
      </w:r>
    </w:p>
    <w:p w:rsidR="00961EE2" w:rsidRPr="00961EE2" w:rsidRDefault="00961EE2" w:rsidP="00961EE2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jc w:val="both"/>
        <w:rPr>
          <w:rFonts w:eastAsia="Times New Roman"/>
          <w:color w:val="202124"/>
          <w:sz w:val="24"/>
          <w:szCs w:val="24"/>
          <w:lang w:val="en-GB" w:eastAsia="en-GB"/>
        </w:rPr>
      </w:pPr>
      <w:r w:rsidRPr="00961EE2">
        <w:rPr>
          <w:rFonts w:eastAsia="Times New Roman"/>
          <w:color w:val="202124"/>
          <w:sz w:val="24"/>
          <w:szCs w:val="24"/>
          <w:lang w:val="en" w:eastAsia="en-GB"/>
        </w:rPr>
        <w:t>Equal job opportunities</w:t>
      </w:r>
      <w:r>
        <w:rPr>
          <w:rFonts w:eastAsia="Times New Roman"/>
          <w:color w:val="202124"/>
          <w:sz w:val="24"/>
          <w:szCs w:val="24"/>
          <w:lang w:val="en" w:eastAsia="en-GB"/>
        </w:rPr>
        <w:t>,</w:t>
      </w:r>
      <w:r w:rsidRPr="00961EE2">
        <w:rPr>
          <w:rFonts w:eastAsia="Times New Roman"/>
          <w:color w:val="202124"/>
          <w:sz w:val="24"/>
          <w:szCs w:val="24"/>
          <w:lang w:val="en" w:eastAsia="en-GB"/>
        </w:rPr>
        <w:t xml:space="preserve"> regardless of gender</w:t>
      </w:r>
      <w:r>
        <w:rPr>
          <w:rFonts w:eastAsia="Times New Roman"/>
          <w:color w:val="202124"/>
          <w:sz w:val="24"/>
          <w:szCs w:val="24"/>
          <w:lang w:val="en" w:eastAsia="en-GB"/>
        </w:rPr>
        <w:t>,</w:t>
      </w:r>
      <w:r w:rsidRPr="00961EE2">
        <w:rPr>
          <w:rFonts w:eastAsia="Times New Roman"/>
          <w:color w:val="202124"/>
          <w:sz w:val="24"/>
          <w:szCs w:val="24"/>
          <w:lang w:val="en" w:eastAsia="en-GB"/>
        </w:rPr>
        <w:t xml:space="preserve"> </w:t>
      </w:r>
      <w:r>
        <w:rPr>
          <w:rFonts w:eastAsia="Times New Roman"/>
          <w:color w:val="202124"/>
          <w:sz w:val="24"/>
          <w:szCs w:val="24"/>
          <w:lang w:val="en" w:eastAsia="en-GB"/>
        </w:rPr>
        <w:t xml:space="preserve">is an </w:t>
      </w:r>
      <w:r w:rsidRPr="00961EE2">
        <w:rPr>
          <w:rFonts w:eastAsia="Times New Roman"/>
          <w:color w:val="202124"/>
          <w:sz w:val="24"/>
          <w:szCs w:val="24"/>
          <w:lang w:val="en" w:eastAsia="en-GB"/>
        </w:rPr>
        <w:t xml:space="preserve">important priority for us and one of the basic pillars of the </w:t>
      </w:r>
      <w:r>
        <w:rPr>
          <w:rFonts w:eastAsia="Times New Roman"/>
          <w:color w:val="202124"/>
          <w:sz w:val="24"/>
          <w:szCs w:val="24"/>
          <w:lang w:val="en" w:eastAsia="en-GB"/>
        </w:rPr>
        <w:t>IBP</w:t>
      </w:r>
      <w:r w:rsidRPr="00961EE2">
        <w:rPr>
          <w:rFonts w:eastAsia="Times New Roman"/>
          <w:color w:val="202124"/>
          <w:sz w:val="24"/>
          <w:szCs w:val="24"/>
          <w:lang w:val="en" w:eastAsia="en-GB"/>
        </w:rPr>
        <w:t xml:space="preserve"> as an aspirant for the HR AWARD. In the long run, we </w:t>
      </w:r>
      <w:r>
        <w:rPr>
          <w:rFonts w:eastAsia="Times New Roman"/>
          <w:color w:val="202124"/>
          <w:sz w:val="24"/>
          <w:szCs w:val="24"/>
          <w:lang w:val="en" w:eastAsia="en-GB"/>
        </w:rPr>
        <w:t xml:space="preserve">try </w:t>
      </w:r>
      <w:r w:rsidRPr="00961EE2">
        <w:rPr>
          <w:rFonts w:eastAsia="Times New Roman"/>
          <w:color w:val="202124"/>
          <w:sz w:val="24"/>
          <w:szCs w:val="24"/>
          <w:lang w:val="en" w:eastAsia="en-GB"/>
        </w:rPr>
        <w:t xml:space="preserve">to improve the "work/life" balance for women in science; </w:t>
      </w:r>
      <w:r>
        <w:rPr>
          <w:rFonts w:eastAsia="Times New Roman"/>
          <w:color w:val="202124"/>
          <w:sz w:val="24"/>
          <w:szCs w:val="24"/>
          <w:lang w:val="en" w:eastAsia="en-GB"/>
        </w:rPr>
        <w:t xml:space="preserve">we </w:t>
      </w:r>
      <w:r w:rsidRPr="00961EE2">
        <w:rPr>
          <w:rFonts w:eastAsia="Times New Roman"/>
          <w:color w:val="202124"/>
          <w:sz w:val="24"/>
          <w:szCs w:val="24"/>
          <w:lang w:val="en" w:eastAsia="en-GB"/>
        </w:rPr>
        <w:t xml:space="preserve">allow part-time </w:t>
      </w:r>
      <w:r>
        <w:rPr>
          <w:rFonts w:eastAsia="Times New Roman"/>
          <w:color w:val="202124"/>
          <w:sz w:val="24"/>
          <w:szCs w:val="24"/>
          <w:lang w:val="en" w:eastAsia="en-GB"/>
        </w:rPr>
        <w:t>jobs</w:t>
      </w:r>
      <w:r w:rsidRPr="00961EE2">
        <w:rPr>
          <w:rFonts w:eastAsia="Times New Roman"/>
          <w:color w:val="202124"/>
          <w:sz w:val="24"/>
          <w:szCs w:val="24"/>
          <w:lang w:val="en" w:eastAsia="en-GB"/>
        </w:rPr>
        <w:t xml:space="preserve"> for women (parents) with children under the age of 6. We support women to become department heads or deputy department heads (in 2019-2020, one woman was newly appointed deputy head of department</w:t>
      </w:r>
      <w:r>
        <w:rPr>
          <w:rFonts w:eastAsia="Times New Roman"/>
          <w:color w:val="202124"/>
          <w:sz w:val="24"/>
          <w:szCs w:val="24"/>
          <w:lang w:val="en" w:eastAsia="en-GB"/>
        </w:rPr>
        <w:t>, but several women were established as group leaders</w:t>
      </w:r>
      <w:r w:rsidRPr="00961EE2">
        <w:rPr>
          <w:rFonts w:eastAsia="Times New Roman"/>
          <w:color w:val="202124"/>
          <w:sz w:val="24"/>
          <w:szCs w:val="24"/>
          <w:lang w:val="en" w:eastAsia="en-GB"/>
        </w:rPr>
        <w:t>). The management of the institute also uses tools to support the activities of young scientists and women (parents) in science. In 2019, we organized a seminar on the topic of women in science</w:t>
      </w:r>
      <w:r>
        <w:rPr>
          <w:rFonts w:eastAsia="Times New Roman"/>
          <w:color w:val="202124"/>
          <w:sz w:val="24"/>
          <w:szCs w:val="24"/>
          <w:lang w:val="en" w:eastAsia="en-GB"/>
        </w:rPr>
        <w:t xml:space="preserve">. In this seminar, scientific talks of </w:t>
      </w:r>
      <w:r w:rsidRPr="00961EE2">
        <w:rPr>
          <w:rFonts w:eastAsia="Times New Roman"/>
          <w:color w:val="202124"/>
          <w:sz w:val="24"/>
          <w:szCs w:val="24"/>
          <w:lang w:val="en" w:eastAsia="en-GB"/>
        </w:rPr>
        <w:t>prominent scientists from Spain and the USA</w:t>
      </w:r>
      <w:r>
        <w:rPr>
          <w:rFonts w:eastAsia="Times New Roman"/>
          <w:color w:val="202124"/>
          <w:sz w:val="24"/>
          <w:szCs w:val="24"/>
          <w:lang w:val="en" w:eastAsia="en-GB"/>
        </w:rPr>
        <w:t xml:space="preserve"> were organized;</w:t>
      </w:r>
      <w:r w:rsidRPr="00961EE2">
        <w:rPr>
          <w:rFonts w:eastAsia="Times New Roman"/>
          <w:color w:val="202124"/>
          <w:sz w:val="24"/>
          <w:szCs w:val="24"/>
          <w:lang w:val="en" w:eastAsia="en-GB"/>
        </w:rPr>
        <w:t xml:space="preserve"> among others, scientists from our institute ha</w:t>
      </w:r>
      <w:r>
        <w:rPr>
          <w:rFonts w:eastAsia="Times New Roman"/>
          <w:color w:val="202124"/>
          <w:sz w:val="24"/>
          <w:szCs w:val="24"/>
          <w:lang w:val="en" w:eastAsia="en-GB"/>
        </w:rPr>
        <w:t>d</w:t>
      </w:r>
      <w:r w:rsidRPr="00961EE2">
        <w:rPr>
          <w:rFonts w:eastAsia="Times New Roman"/>
          <w:color w:val="202124"/>
          <w:sz w:val="24"/>
          <w:szCs w:val="24"/>
          <w:lang w:val="en" w:eastAsia="en-GB"/>
        </w:rPr>
        <w:t xml:space="preserve"> the opportunity to discuss their work with them.</w:t>
      </w:r>
    </w:p>
    <w:p w:rsidR="00961EE2" w:rsidRPr="00961EE2" w:rsidRDefault="00961EE2" w:rsidP="00961EE2">
      <w:pPr>
        <w:pStyle w:val="FormtovanvHTML"/>
        <w:shd w:val="clear" w:color="auto" w:fill="F8F9FA"/>
        <w:spacing w:line="540" w:lineRule="atLeast"/>
        <w:jc w:val="both"/>
        <w:rPr>
          <w:rStyle w:val="y2iqfc"/>
          <w:rFonts w:ascii="Arial" w:hAnsi="Arial" w:cs="Arial"/>
          <w:color w:val="202124"/>
          <w:sz w:val="24"/>
          <w:szCs w:val="24"/>
          <w:lang w:val="en"/>
        </w:rPr>
      </w:pPr>
      <w:r>
        <w:rPr>
          <w:rStyle w:val="y2iqfc"/>
          <w:rFonts w:ascii="Arial" w:hAnsi="Arial" w:cs="Arial"/>
          <w:color w:val="202124"/>
          <w:sz w:val="24"/>
          <w:szCs w:val="24"/>
          <w:lang w:val="en"/>
        </w:rPr>
        <w:tab/>
      </w:r>
      <w:r w:rsidRPr="00961EE2">
        <w:rPr>
          <w:rStyle w:val="y2iqfc"/>
          <w:rFonts w:ascii="Arial" w:hAnsi="Arial" w:cs="Arial"/>
          <w:color w:val="202124"/>
          <w:sz w:val="24"/>
          <w:szCs w:val="24"/>
          <w:lang w:val="en"/>
        </w:rPr>
        <w:t xml:space="preserve">Scientists returning after parental leave have a long-term problem with placing their children in pre-school facilities, especially in </w:t>
      </w:r>
      <w:r>
        <w:rPr>
          <w:rStyle w:val="y2iqfc"/>
          <w:rFonts w:ascii="Arial" w:hAnsi="Arial" w:cs="Arial"/>
          <w:color w:val="202124"/>
          <w:sz w:val="24"/>
          <w:szCs w:val="24"/>
          <w:lang w:val="en"/>
        </w:rPr>
        <w:t>nursery schools</w:t>
      </w:r>
      <w:r w:rsidRPr="00961EE2">
        <w:rPr>
          <w:rStyle w:val="y2iqfc"/>
          <w:rFonts w:ascii="Arial" w:hAnsi="Arial" w:cs="Arial"/>
          <w:color w:val="202124"/>
          <w:sz w:val="24"/>
          <w:szCs w:val="24"/>
          <w:lang w:val="en"/>
        </w:rPr>
        <w:t xml:space="preserve"> (for children aged 1 to 3). The management of the institute</w:t>
      </w:r>
      <w:r>
        <w:rPr>
          <w:rStyle w:val="y2iqfc"/>
          <w:rFonts w:ascii="Arial" w:hAnsi="Arial" w:cs="Arial"/>
          <w:color w:val="202124"/>
          <w:sz w:val="24"/>
          <w:szCs w:val="24"/>
          <w:lang w:val="en"/>
        </w:rPr>
        <w:t>, therefore,</w:t>
      </w:r>
      <w:r w:rsidRPr="00961EE2">
        <w:rPr>
          <w:rStyle w:val="y2iqfc"/>
          <w:rFonts w:ascii="Arial" w:hAnsi="Arial" w:cs="Arial"/>
          <w:color w:val="202124"/>
          <w:sz w:val="24"/>
          <w:szCs w:val="24"/>
          <w:lang w:val="en"/>
        </w:rPr>
        <w:t xml:space="preserve"> initiated the establishment and support</w:t>
      </w:r>
      <w:r>
        <w:rPr>
          <w:rStyle w:val="y2iqfc"/>
          <w:rFonts w:ascii="Arial" w:hAnsi="Arial" w:cs="Arial"/>
          <w:color w:val="202124"/>
          <w:sz w:val="24"/>
          <w:szCs w:val="24"/>
          <w:lang w:val="en"/>
        </w:rPr>
        <w:t>ed</w:t>
      </w:r>
      <w:r w:rsidRPr="00961EE2">
        <w:rPr>
          <w:rStyle w:val="y2iqfc"/>
          <w:rFonts w:ascii="Arial" w:hAnsi="Arial" w:cs="Arial"/>
          <w:color w:val="202124"/>
          <w:sz w:val="24"/>
          <w:szCs w:val="24"/>
          <w:lang w:val="en"/>
        </w:rPr>
        <w:t xml:space="preserve"> the functioning of a children's group directly </w:t>
      </w:r>
      <w:r>
        <w:rPr>
          <w:rStyle w:val="y2iqfc"/>
          <w:rFonts w:ascii="Arial" w:hAnsi="Arial" w:cs="Arial"/>
          <w:color w:val="202124"/>
          <w:sz w:val="24"/>
          <w:szCs w:val="24"/>
          <w:lang w:val="en"/>
        </w:rPr>
        <w:t xml:space="preserve">in </w:t>
      </w:r>
      <w:r w:rsidRPr="00961EE2">
        <w:rPr>
          <w:rStyle w:val="y2iqfc"/>
          <w:rFonts w:ascii="Arial" w:hAnsi="Arial" w:cs="Arial"/>
          <w:color w:val="202124"/>
          <w:sz w:val="24"/>
          <w:szCs w:val="24"/>
          <w:lang w:val="en"/>
        </w:rPr>
        <w:t xml:space="preserve">the </w:t>
      </w:r>
      <w:r>
        <w:rPr>
          <w:rStyle w:val="y2iqfc"/>
          <w:rFonts w:ascii="Arial" w:hAnsi="Arial" w:cs="Arial"/>
          <w:color w:val="202124"/>
          <w:sz w:val="24"/>
          <w:szCs w:val="24"/>
          <w:lang w:val="en"/>
        </w:rPr>
        <w:t>institute.</w:t>
      </w:r>
      <w:r w:rsidRPr="00961EE2">
        <w:rPr>
          <w:rStyle w:val="y2iqfc"/>
          <w:rFonts w:ascii="Arial" w:hAnsi="Arial" w:cs="Arial"/>
          <w:color w:val="202124"/>
          <w:sz w:val="24"/>
          <w:szCs w:val="24"/>
          <w:lang w:val="en"/>
        </w:rPr>
        <w:t xml:space="preserve"> This is a high level of care for younger pre</w:t>
      </w:r>
      <w:r>
        <w:rPr>
          <w:rStyle w:val="y2iqfc"/>
          <w:rFonts w:ascii="Arial" w:hAnsi="Arial" w:cs="Arial"/>
          <w:color w:val="202124"/>
          <w:sz w:val="24"/>
          <w:szCs w:val="24"/>
          <w:lang w:val="en"/>
        </w:rPr>
        <w:t>-</w:t>
      </w:r>
      <w:r w:rsidRPr="00961EE2">
        <w:rPr>
          <w:rStyle w:val="y2iqfc"/>
          <w:rFonts w:ascii="Arial" w:hAnsi="Arial" w:cs="Arial"/>
          <w:color w:val="202124"/>
          <w:sz w:val="24"/>
          <w:szCs w:val="24"/>
          <w:lang w:val="en"/>
        </w:rPr>
        <w:t>school children, meeting the preconditions for the recruitment of highly qualified researchers. According to a preliminary survey (GAP analysis for the HR Award), 8-10 employees are continuously interested in placing their children in such a pre</w:t>
      </w:r>
      <w:r>
        <w:rPr>
          <w:rStyle w:val="y2iqfc"/>
          <w:rFonts w:ascii="Arial" w:hAnsi="Arial" w:cs="Arial"/>
          <w:color w:val="202124"/>
          <w:sz w:val="24"/>
          <w:szCs w:val="24"/>
          <w:lang w:val="en"/>
        </w:rPr>
        <w:t>-</w:t>
      </w:r>
      <w:r w:rsidRPr="00961EE2">
        <w:rPr>
          <w:rStyle w:val="y2iqfc"/>
          <w:rFonts w:ascii="Arial" w:hAnsi="Arial" w:cs="Arial"/>
          <w:color w:val="202124"/>
          <w:sz w:val="24"/>
          <w:szCs w:val="24"/>
          <w:lang w:val="en"/>
        </w:rPr>
        <w:t>school facility, and most employees support this activity.</w:t>
      </w:r>
    </w:p>
    <w:p w:rsidR="00961EE2" w:rsidRPr="00961EE2" w:rsidRDefault="00961EE2" w:rsidP="00961EE2">
      <w:pPr>
        <w:pStyle w:val="FormtovanvHTML"/>
        <w:shd w:val="clear" w:color="auto" w:fill="F8F9FA"/>
        <w:spacing w:line="540" w:lineRule="atLeast"/>
        <w:jc w:val="both"/>
        <w:rPr>
          <w:rStyle w:val="y2iqfc"/>
          <w:rFonts w:ascii="Arial" w:hAnsi="Arial" w:cs="Arial"/>
          <w:color w:val="202124"/>
          <w:sz w:val="24"/>
          <w:szCs w:val="24"/>
          <w:lang w:val="en"/>
        </w:rPr>
      </w:pPr>
      <w:r>
        <w:rPr>
          <w:rStyle w:val="y2iqfc"/>
          <w:rFonts w:ascii="Arial" w:hAnsi="Arial" w:cs="Arial"/>
          <w:color w:val="202124"/>
          <w:sz w:val="24"/>
          <w:szCs w:val="24"/>
          <w:lang w:val="en"/>
        </w:rPr>
        <w:tab/>
      </w:r>
      <w:r w:rsidRPr="00961EE2">
        <w:rPr>
          <w:rStyle w:val="y2iqfc"/>
          <w:rFonts w:ascii="Arial" w:hAnsi="Arial" w:cs="Arial"/>
          <w:color w:val="202124"/>
          <w:sz w:val="24"/>
          <w:szCs w:val="24"/>
          <w:lang w:val="en"/>
        </w:rPr>
        <w:t xml:space="preserve">In terms of grant success, 22.5% (25%) of women are </w:t>
      </w:r>
      <w:r>
        <w:rPr>
          <w:rStyle w:val="y2iqfc"/>
          <w:rFonts w:ascii="Arial" w:hAnsi="Arial" w:cs="Arial"/>
          <w:color w:val="202124"/>
          <w:sz w:val="24"/>
          <w:szCs w:val="24"/>
          <w:lang w:val="en"/>
        </w:rPr>
        <w:t xml:space="preserve">principal investigators of research </w:t>
      </w:r>
      <w:r w:rsidRPr="00961EE2">
        <w:rPr>
          <w:rStyle w:val="y2iqfc"/>
          <w:rFonts w:ascii="Arial" w:hAnsi="Arial" w:cs="Arial"/>
          <w:color w:val="202124"/>
          <w:sz w:val="24"/>
          <w:szCs w:val="24"/>
          <w:lang w:val="en"/>
        </w:rPr>
        <w:t>projects of external providers, compared to 77.5% (75%) of men.</w:t>
      </w:r>
    </w:p>
    <w:p w:rsidR="00961EE2" w:rsidRPr="00961EE2" w:rsidRDefault="00961EE2" w:rsidP="00961EE2">
      <w:pPr>
        <w:pStyle w:val="FormtovanvHTML"/>
        <w:shd w:val="clear" w:color="auto" w:fill="F8F9FA"/>
        <w:spacing w:line="540" w:lineRule="atLeast"/>
        <w:jc w:val="both"/>
        <w:rPr>
          <w:rStyle w:val="y2iqfc"/>
          <w:rFonts w:ascii="Arial" w:hAnsi="Arial" w:cs="Arial"/>
          <w:color w:val="202124"/>
          <w:sz w:val="24"/>
          <w:szCs w:val="24"/>
          <w:lang w:val="en"/>
        </w:rPr>
      </w:pPr>
      <w:r w:rsidRPr="00961EE2">
        <w:rPr>
          <w:rStyle w:val="y2iqfc"/>
          <w:rFonts w:ascii="Arial" w:hAnsi="Arial" w:cs="Arial"/>
          <w:color w:val="202124"/>
          <w:sz w:val="24"/>
          <w:szCs w:val="24"/>
          <w:lang w:val="en"/>
        </w:rPr>
        <w:t xml:space="preserve">     The number of women/men in individual categories of professional classification of researchers is shown in Graph 1. The comparison of women's/men's salaries is clearly </w:t>
      </w:r>
      <w:r w:rsidRPr="00961EE2">
        <w:rPr>
          <w:rStyle w:val="y2iqfc"/>
          <w:rFonts w:ascii="Arial" w:hAnsi="Arial" w:cs="Arial"/>
          <w:color w:val="202124"/>
          <w:sz w:val="24"/>
          <w:szCs w:val="24"/>
          <w:lang w:val="en"/>
        </w:rPr>
        <w:lastRenderedPageBreak/>
        <w:t xml:space="preserve">demonstrated in Graph 2. It can be stated that the trend of recent years is a significant convergence of women's and men's salaries in all monitored categories. There is a statistical deviation in category </w:t>
      </w:r>
      <w:proofErr w:type="spellStart"/>
      <w:r w:rsidRPr="00961EE2">
        <w:rPr>
          <w:rStyle w:val="y2iqfc"/>
          <w:rFonts w:ascii="Arial" w:hAnsi="Arial" w:cs="Arial"/>
          <w:color w:val="202124"/>
          <w:sz w:val="24"/>
          <w:szCs w:val="24"/>
          <w:lang w:val="en"/>
        </w:rPr>
        <w:t>V1</w:t>
      </w:r>
      <w:proofErr w:type="spellEnd"/>
      <w:r>
        <w:rPr>
          <w:rStyle w:val="y2iqfc"/>
          <w:rFonts w:ascii="Arial" w:hAnsi="Arial" w:cs="Arial"/>
          <w:color w:val="202124"/>
          <w:sz w:val="24"/>
          <w:szCs w:val="24"/>
          <w:lang w:val="en"/>
        </w:rPr>
        <w:t xml:space="preserve"> (</w:t>
      </w:r>
      <w:proofErr w:type="spellStart"/>
      <w:r>
        <w:rPr>
          <w:rStyle w:val="y2iqfc"/>
          <w:rFonts w:ascii="Arial" w:hAnsi="Arial" w:cs="Arial"/>
          <w:color w:val="202124"/>
          <w:sz w:val="24"/>
          <w:szCs w:val="24"/>
          <w:lang w:val="en"/>
        </w:rPr>
        <w:t>R1</w:t>
      </w:r>
      <w:proofErr w:type="spellEnd"/>
      <w:r>
        <w:rPr>
          <w:rStyle w:val="y2iqfc"/>
          <w:rFonts w:ascii="Arial" w:hAnsi="Arial" w:cs="Arial"/>
          <w:color w:val="202124"/>
          <w:sz w:val="24"/>
          <w:szCs w:val="24"/>
          <w:lang w:val="en"/>
        </w:rPr>
        <w:t>)</w:t>
      </w:r>
      <w:r w:rsidRPr="00961EE2">
        <w:rPr>
          <w:rStyle w:val="y2iqfc"/>
          <w:rFonts w:ascii="Arial" w:hAnsi="Arial" w:cs="Arial"/>
          <w:color w:val="202124"/>
          <w:sz w:val="24"/>
          <w:szCs w:val="24"/>
          <w:lang w:val="en"/>
        </w:rPr>
        <w:t xml:space="preserve"> because it is represented by 9 women but only 1 man.</w:t>
      </w:r>
    </w:p>
    <w:p w:rsidR="00961EE2" w:rsidRDefault="00961EE2" w:rsidP="00961EE2">
      <w:pPr>
        <w:pStyle w:val="Formtovanv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42"/>
          <w:szCs w:val="42"/>
        </w:rPr>
      </w:pPr>
      <w:r w:rsidRPr="00961EE2">
        <w:rPr>
          <w:rStyle w:val="y2iqfc"/>
          <w:rFonts w:ascii="Arial" w:hAnsi="Arial" w:cs="Arial"/>
          <w:color w:val="202124"/>
          <w:sz w:val="24"/>
          <w:szCs w:val="24"/>
          <w:lang w:val="en"/>
        </w:rPr>
        <w:t xml:space="preserve">       The </w:t>
      </w:r>
      <w:r>
        <w:rPr>
          <w:rStyle w:val="y2iqfc"/>
          <w:rFonts w:ascii="Arial" w:hAnsi="Arial" w:cs="Arial"/>
          <w:color w:val="202124"/>
          <w:sz w:val="24"/>
          <w:szCs w:val="24"/>
          <w:lang w:val="en"/>
        </w:rPr>
        <w:t>IBP</w:t>
      </w:r>
      <w:r w:rsidRPr="00961EE2">
        <w:rPr>
          <w:rStyle w:val="y2iqfc"/>
          <w:rFonts w:ascii="Arial" w:hAnsi="Arial" w:cs="Arial"/>
          <w:color w:val="202124"/>
          <w:sz w:val="24"/>
          <w:szCs w:val="24"/>
          <w:lang w:val="en"/>
        </w:rPr>
        <w:t xml:space="preserve"> structure is divided into </w:t>
      </w:r>
      <w:r>
        <w:rPr>
          <w:rStyle w:val="y2iqfc"/>
          <w:rFonts w:ascii="Arial" w:hAnsi="Arial" w:cs="Arial"/>
          <w:color w:val="202124"/>
          <w:sz w:val="24"/>
          <w:szCs w:val="24"/>
          <w:lang w:val="en"/>
        </w:rPr>
        <w:t>ten</w:t>
      </w:r>
      <w:r w:rsidRPr="00961EE2">
        <w:rPr>
          <w:rStyle w:val="y2iqfc"/>
          <w:rFonts w:ascii="Arial" w:hAnsi="Arial" w:cs="Arial"/>
          <w:color w:val="202124"/>
          <w:sz w:val="24"/>
          <w:szCs w:val="24"/>
          <w:lang w:val="en"/>
        </w:rPr>
        <w:t xml:space="preserve"> departments, of which only </w:t>
      </w:r>
      <w:r>
        <w:rPr>
          <w:rStyle w:val="y2iqfc"/>
          <w:rFonts w:ascii="Arial" w:hAnsi="Arial" w:cs="Arial"/>
          <w:color w:val="202124"/>
          <w:sz w:val="24"/>
          <w:szCs w:val="24"/>
          <w:lang w:val="en"/>
        </w:rPr>
        <w:t>one</w:t>
      </w:r>
      <w:r w:rsidRPr="00961EE2">
        <w:rPr>
          <w:rStyle w:val="y2iqfc"/>
          <w:rFonts w:ascii="Arial" w:hAnsi="Arial" w:cs="Arial"/>
          <w:color w:val="202124"/>
          <w:sz w:val="24"/>
          <w:szCs w:val="24"/>
          <w:lang w:val="en"/>
        </w:rPr>
        <w:t xml:space="preserve"> woman is the head of the department. Similarly, the current composition of the Council of the Constitution is </w:t>
      </w:r>
      <w:r>
        <w:rPr>
          <w:rStyle w:val="y2iqfc"/>
          <w:rFonts w:ascii="Arial" w:hAnsi="Arial" w:cs="Arial"/>
          <w:color w:val="202124"/>
          <w:sz w:val="24"/>
          <w:szCs w:val="24"/>
          <w:lang w:val="en"/>
        </w:rPr>
        <w:t>robust</w:t>
      </w:r>
      <w:r w:rsidRPr="00961EE2">
        <w:rPr>
          <w:rStyle w:val="y2iqfc"/>
          <w:rFonts w:ascii="Arial" w:hAnsi="Arial" w:cs="Arial"/>
          <w:color w:val="202124"/>
          <w:sz w:val="24"/>
          <w:szCs w:val="24"/>
          <w:lang w:val="en"/>
        </w:rPr>
        <w:t xml:space="preserve"> to the detriment of women; not a single woman </w:t>
      </w:r>
      <w:r>
        <w:rPr>
          <w:rStyle w:val="y2iqfc"/>
          <w:rFonts w:ascii="Arial" w:hAnsi="Arial" w:cs="Arial"/>
          <w:color w:val="202124"/>
          <w:sz w:val="24"/>
          <w:szCs w:val="24"/>
          <w:lang w:val="en"/>
        </w:rPr>
        <w:t>was elected into</w:t>
      </w:r>
      <w:r w:rsidRPr="00961EE2">
        <w:rPr>
          <w:rStyle w:val="y2iqfc"/>
          <w:rFonts w:ascii="Arial" w:hAnsi="Arial" w:cs="Arial"/>
          <w:color w:val="202124"/>
          <w:sz w:val="24"/>
          <w:szCs w:val="24"/>
          <w:lang w:val="en"/>
        </w:rPr>
        <w:t xml:space="preserve"> the </w:t>
      </w:r>
      <w:r>
        <w:rPr>
          <w:rStyle w:val="y2iqfc"/>
          <w:rFonts w:ascii="Arial" w:hAnsi="Arial" w:cs="Arial"/>
          <w:color w:val="202124"/>
          <w:sz w:val="24"/>
          <w:szCs w:val="24"/>
          <w:lang w:val="en"/>
        </w:rPr>
        <w:t xml:space="preserve">Institute </w:t>
      </w:r>
      <w:r w:rsidRPr="00961EE2">
        <w:rPr>
          <w:rStyle w:val="y2iqfc"/>
          <w:rFonts w:ascii="Arial" w:hAnsi="Arial" w:cs="Arial"/>
          <w:color w:val="202124"/>
          <w:sz w:val="24"/>
          <w:szCs w:val="24"/>
          <w:lang w:val="en"/>
        </w:rPr>
        <w:t>Council. Representatives to the Council of the Institute are elected by the Assembly of Scientists</w:t>
      </w:r>
      <w:r>
        <w:rPr>
          <w:rStyle w:val="y2iqfc"/>
          <w:rFonts w:ascii="Arial" w:hAnsi="Arial" w:cs="Arial"/>
          <w:color w:val="202124"/>
          <w:sz w:val="24"/>
          <w:szCs w:val="24"/>
          <w:lang w:val="en"/>
        </w:rPr>
        <w:t>; thus, it is not possible to categorize this authority</w:t>
      </w:r>
      <w:r w:rsidRPr="00961EE2">
        <w:rPr>
          <w:rStyle w:val="y2iqfc"/>
          <w:rFonts w:ascii="Arial" w:hAnsi="Arial" w:cs="Arial"/>
          <w:color w:val="202124"/>
          <w:sz w:val="24"/>
          <w:szCs w:val="24"/>
          <w:lang w:val="en"/>
        </w:rPr>
        <w:t xml:space="preserve">. </w:t>
      </w:r>
      <w:r>
        <w:rPr>
          <w:rStyle w:val="y2iqfc"/>
          <w:rFonts w:ascii="Arial" w:hAnsi="Arial" w:cs="Arial"/>
          <w:color w:val="202124"/>
          <w:sz w:val="24"/>
          <w:szCs w:val="24"/>
          <w:lang w:val="en"/>
        </w:rPr>
        <w:t xml:space="preserve">However, </w:t>
      </w:r>
      <w:r w:rsidRPr="00961EE2">
        <w:rPr>
          <w:rStyle w:val="y2iqfc"/>
          <w:rFonts w:ascii="Arial" w:hAnsi="Arial" w:cs="Arial"/>
          <w:color w:val="202124"/>
          <w:sz w:val="24"/>
          <w:szCs w:val="24"/>
          <w:lang w:val="en"/>
        </w:rPr>
        <w:t xml:space="preserve">efforts </w:t>
      </w:r>
      <w:r>
        <w:rPr>
          <w:rStyle w:val="y2iqfc"/>
          <w:rFonts w:ascii="Arial" w:hAnsi="Arial" w:cs="Arial"/>
          <w:color w:val="202124"/>
          <w:sz w:val="24"/>
          <w:szCs w:val="24"/>
          <w:lang w:val="en"/>
        </w:rPr>
        <w:t>s</w:t>
      </w:r>
      <w:r w:rsidRPr="00961EE2">
        <w:rPr>
          <w:rStyle w:val="y2iqfc"/>
          <w:rFonts w:ascii="Arial" w:hAnsi="Arial" w:cs="Arial"/>
          <w:color w:val="202124"/>
          <w:sz w:val="24"/>
          <w:szCs w:val="24"/>
          <w:lang w:val="en"/>
        </w:rPr>
        <w:t xml:space="preserve">hould be made to improve the position of women on the Council of </w:t>
      </w:r>
      <w:r>
        <w:rPr>
          <w:rStyle w:val="y2iqfc"/>
          <w:rFonts w:ascii="Arial" w:hAnsi="Arial" w:cs="Arial"/>
          <w:color w:val="202124"/>
          <w:sz w:val="24"/>
          <w:szCs w:val="24"/>
          <w:lang w:val="en"/>
        </w:rPr>
        <w:t xml:space="preserve">the </w:t>
      </w:r>
      <w:r w:rsidRPr="00961EE2">
        <w:rPr>
          <w:rStyle w:val="y2iqfc"/>
          <w:rFonts w:ascii="Arial" w:hAnsi="Arial" w:cs="Arial"/>
          <w:color w:val="202124"/>
          <w:sz w:val="24"/>
          <w:szCs w:val="24"/>
          <w:lang w:val="en"/>
        </w:rPr>
        <w:t>Institute</w:t>
      </w:r>
      <w:r>
        <w:rPr>
          <w:rStyle w:val="y2iqfc"/>
          <w:rFonts w:ascii="Arial" w:hAnsi="Arial" w:cs="Arial"/>
          <w:color w:val="202124"/>
          <w:sz w:val="24"/>
          <w:szCs w:val="24"/>
          <w:lang w:val="en"/>
        </w:rPr>
        <w:t xml:space="preserve">. </w:t>
      </w:r>
      <w:r w:rsidRPr="00961EE2">
        <w:rPr>
          <w:rStyle w:val="y2iqfc"/>
          <w:rFonts w:ascii="Arial" w:hAnsi="Arial" w:cs="Arial"/>
          <w:color w:val="202124"/>
          <w:sz w:val="24"/>
          <w:szCs w:val="24"/>
          <w:lang w:val="en"/>
        </w:rPr>
        <w:t xml:space="preserve"> </w:t>
      </w:r>
      <w:r>
        <w:rPr>
          <w:rStyle w:val="y2iqfc"/>
          <w:rFonts w:ascii="Arial" w:hAnsi="Arial" w:cs="Arial"/>
          <w:color w:val="202124"/>
          <w:sz w:val="24"/>
          <w:szCs w:val="24"/>
          <w:lang w:val="en"/>
        </w:rPr>
        <w:t>I</w:t>
      </w:r>
      <w:r w:rsidRPr="00961EE2">
        <w:rPr>
          <w:rStyle w:val="y2iqfc"/>
          <w:rFonts w:ascii="Arial" w:hAnsi="Arial" w:cs="Arial"/>
          <w:color w:val="202124"/>
          <w:sz w:val="24"/>
          <w:szCs w:val="24"/>
          <w:lang w:val="en"/>
        </w:rPr>
        <w:t xml:space="preserve">t will probably be necessary to adjust the </w:t>
      </w:r>
      <w:r>
        <w:rPr>
          <w:rStyle w:val="y2iqfc"/>
          <w:rFonts w:ascii="Arial" w:hAnsi="Arial" w:cs="Arial"/>
          <w:color w:val="202124"/>
          <w:sz w:val="24"/>
          <w:szCs w:val="24"/>
          <w:lang w:val="en"/>
        </w:rPr>
        <w:t xml:space="preserve">new principle in the </w:t>
      </w:r>
      <w:proofErr w:type="spellStart"/>
      <w:r>
        <w:rPr>
          <w:rStyle w:val="y2iqfc"/>
          <w:rFonts w:ascii="Arial" w:hAnsi="Arial" w:cs="Arial"/>
          <w:color w:val="202124"/>
          <w:sz w:val="24"/>
          <w:szCs w:val="24"/>
          <w:lang w:val="en"/>
        </w:rPr>
        <w:t>electuioin</w:t>
      </w:r>
      <w:proofErr w:type="spellEnd"/>
      <w:r>
        <w:rPr>
          <w:rStyle w:val="y2iqfc"/>
          <w:rFonts w:ascii="Arial" w:hAnsi="Arial" w:cs="Arial"/>
          <w:color w:val="202124"/>
          <w:sz w:val="24"/>
          <w:szCs w:val="24"/>
          <w:lang w:val="en"/>
        </w:rPr>
        <w:t xml:space="preserve"> </w:t>
      </w:r>
      <w:r w:rsidRPr="00961EE2">
        <w:rPr>
          <w:rStyle w:val="y2iqfc"/>
          <w:rFonts w:ascii="Arial" w:hAnsi="Arial" w:cs="Arial"/>
          <w:color w:val="202124"/>
          <w:sz w:val="24"/>
          <w:szCs w:val="24"/>
          <w:lang w:val="en"/>
        </w:rPr>
        <w:t>rules</w:t>
      </w:r>
      <w:r>
        <w:rPr>
          <w:rStyle w:val="y2iqfc"/>
          <w:rFonts w:ascii="Arial" w:hAnsi="Arial" w:cs="Arial"/>
          <w:color w:val="202124"/>
          <w:sz w:val="24"/>
          <w:szCs w:val="24"/>
          <w:lang w:val="en"/>
        </w:rPr>
        <w:t xml:space="preserve"> of the Czech Academy</w:t>
      </w:r>
      <w:r w:rsidRPr="00961EE2">
        <w:rPr>
          <w:rStyle w:val="y2iqfc"/>
          <w:rFonts w:ascii="Arial" w:hAnsi="Arial" w:cs="Arial"/>
          <w:color w:val="202124"/>
          <w:sz w:val="24"/>
          <w:szCs w:val="24"/>
          <w:lang w:val="en"/>
        </w:rPr>
        <w:t>. However, in the leadership of the institute (</w:t>
      </w:r>
      <w:r>
        <w:rPr>
          <w:rStyle w:val="y2iqfc"/>
          <w:rFonts w:ascii="Arial" w:hAnsi="Arial" w:cs="Arial"/>
          <w:color w:val="202124"/>
          <w:sz w:val="24"/>
          <w:szCs w:val="24"/>
          <w:lang w:val="en"/>
        </w:rPr>
        <w:t>IBP</w:t>
      </w:r>
      <w:r w:rsidRPr="00961EE2">
        <w:rPr>
          <w:rStyle w:val="y2iqfc"/>
          <w:rFonts w:ascii="Arial" w:hAnsi="Arial" w:cs="Arial"/>
          <w:color w:val="202124"/>
          <w:sz w:val="24"/>
          <w:szCs w:val="24"/>
          <w:lang w:val="en"/>
        </w:rPr>
        <w:t>) is a woman</w:t>
      </w:r>
      <w:r>
        <w:rPr>
          <w:rStyle w:val="y2iqfc"/>
          <w:rFonts w:ascii="Arial" w:hAnsi="Arial" w:cs="Arial"/>
          <w:color w:val="202124"/>
          <w:sz w:val="24"/>
          <w:szCs w:val="24"/>
          <w:lang w:val="en"/>
        </w:rPr>
        <w:t xml:space="preserve"> </w:t>
      </w:r>
      <w:r w:rsidRPr="00961EE2">
        <w:rPr>
          <w:rStyle w:val="y2iqfc"/>
          <w:rFonts w:ascii="Arial" w:hAnsi="Arial" w:cs="Arial"/>
          <w:color w:val="202124"/>
          <w:sz w:val="24"/>
          <w:szCs w:val="24"/>
          <w:lang w:val="en"/>
        </w:rPr>
        <w:t>director.</w:t>
      </w:r>
    </w:p>
    <w:p w:rsidR="00961EE2" w:rsidRDefault="00961EE2" w:rsidP="00841B47">
      <w:pPr>
        <w:spacing w:before="27" w:line="256" w:lineRule="auto"/>
        <w:ind w:right="86"/>
        <w:rPr>
          <w:b/>
          <w:sz w:val="24"/>
          <w:szCs w:val="24"/>
        </w:rPr>
      </w:pPr>
    </w:p>
    <w:p w:rsidR="00961EE2" w:rsidRDefault="00961EE2" w:rsidP="00841B47">
      <w:pPr>
        <w:spacing w:before="27" w:line="256" w:lineRule="auto"/>
        <w:ind w:right="86"/>
        <w:rPr>
          <w:b/>
          <w:sz w:val="24"/>
          <w:szCs w:val="24"/>
        </w:rPr>
      </w:pPr>
    </w:p>
    <w:p w:rsidR="00F62F68" w:rsidRPr="00961EE2" w:rsidRDefault="00961EE2" w:rsidP="00841B47">
      <w:pPr>
        <w:spacing w:before="27" w:line="256" w:lineRule="auto"/>
        <w:ind w:right="86"/>
        <w:rPr>
          <w:sz w:val="24"/>
          <w:szCs w:val="24"/>
        </w:rPr>
      </w:pPr>
      <w:r>
        <w:rPr>
          <w:b/>
          <w:sz w:val="24"/>
          <w:szCs w:val="24"/>
        </w:rPr>
        <w:t>Graph</w:t>
      </w:r>
      <w:r w:rsidR="00841B47" w:rsidRPr="00841B47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 xml:space="preserve"> </w:t>
      </w:r>
      <w:r w:rsidRPr="00961EE2">
        <w:rPr>
          <w:sz w:val="24"/>
          <w:szCs w:val="24"/>
        </w:rPr>
        <w:t>pink</w:t>
      </w:r>
      <w:r>
        <w:rPr>
          <w:sz w:val="24"/>
          <w:szCs w:val="24"/>
        </w:rPr>
        <w:t>-</w:t>
      </w:r>
      <w:r w:rsidRPr="00961EE2">
        <w:rPr>
          <w:sz w:val="24"/>
          <w:szCs w:val="24"/>
        </w:rPr>
        <w:t>women</w:t>
      </w:r>
      <w:r>
        <w:rPr>
          <w:sz w:val="24"/>
          <w:szCs w:val="24"/>
        </w:rPr>
        <w:t>/</w:t>
      </w:r>
      <w:r w:rsidRPr="00961EE2">
        <w:rPr>
          <w:sz w:val="24"/>
          <w:szCs w:val="24"/>
        </w:rPr>
        <w:t>blue-men</w:t>
      </w:r>
    </w:p>
    <w:p w:rsidR="00F021E1" w:rsidRDefault="00F021E1"/>
    <w:p w:rsidR="00306DD1" w:rsidRDefault="00306DD1"/>
    <w:p w:rsidR="00306DD1" w:rsidRDefault="00841B47">
      <w:r>
        <w:rPr>
          <w:noProof/>
          <w:lang w:val="en-GB" w:eastAsia="en-GB"/>
        </w:rPr>
        <w:drawing>
          <wp:inline distT="0" distB="0" distL="0" distR="0" wp14:anchorId="305159FF" wp14:editId="3BF64CC0">
            <wp:extent cx="5074920" cy="2569845"/>
            <wp:effectExtent l="0" t="0" r="11430" b="1905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40446007-89E8-4105-85A4-624530DB7A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06DD1" w:rsidRDefault="00306DD1"/>
    <w:p w:rsidR="00E60BBA" w:rsidRDefault="00E60BBA" w:rsidP="00841B47">
      <w:pPr>
        <w:spacing w:before="27" w:line="256" w:lineRule="auto"/>
        <w:ind w:right="86"/>
        <w:rPr>
          <w:b/>
          <w:sz w:val="24"/>
          <w:szCs w:val="24"/>
        </w:rPr>
      </w:pPr>
    </w:p>
    <w:p w:rsidR="00E02209" w:rsidRDefault="00E02209">
      <w:pPr>
        <w:rPr>
          <w:b/>
          <w:sz w:val="24"/>
          <w:szCs w:val="24"/>
        </w:rPr>
      </w:pPr>
    </w:p>
    <w:p w:rsidR="009F6472" w:rsidRDefault="009F6472">
      <w:pPr>
        <w:rPr>
          <w:b/>
          <w:noProof/>
          <w:sz w:val="24"/>
          <w:szCs w:val="24"/>
          <w:lang w:val="en-GB" w:eastAsia="en-GB"/>
        </w:rPr>
      </w:pPr>
    </w:p>
    <w:p w:rsidR="00E02209" w:rsidRPr="00841B47" w:rsidRDefault="00961EE2" w:rsidP="00E02209">
      <w:pPr>
        <w:spacing w:before="27" w:line="256" w:lineRule="auto"/>
        <w:ind w:right="86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Graph</w:t>
      </w:r>
      <w:r w:rsidR="00E02209" w:rsidRPr="00841B47">
        <w:rPr>
          <w:b/>
          <w:sz w:val="24"/>
          <w:szCs w:val="24"/>
        </w:rPr>
        <w:t xml:space="preserve"> </w:t>
      </w:r>
      <w:r w:rsidR="00E02209">
        <w:rPr>
          <w:b/>
          <w:sz w:val="24"/>
          <w:szCs w:val="24"/>
        </w:rPr>
        <w:t>2</w:t>
      </w:r>
      <w:r w:rsidR="003C67B3">
        <w:rPr>
          <w:b/>
          <w:sz w:val="24"/>
          <w:szCs w:val="24"/>
        </w:rPr>
        <w:t xml:space="preserve"> </w:t>
      </w:r>
      <w:r w:rsidR="003C67B3" w:rsidRPr="00961EE2">
        <w:rPr>
          <w:sz w:val="24"/>
          <w:szCs w:val="24"/>
        </w:rPr>
        <w:t>pink</w:t>
      </w:r>
      <w:r w:rsidR="003C67B3">
        <w:rPr>
          <w:sz w:val="24"/>
          <w:szCs w:val="24"/>
        </w:rPr>
        <w:t>-</w:t>
      </w:r>
      <w:r w:rsidR="003C67B3" w:rsidRPr="00961EE2">
        <w:rPr>
          <w:sz w:val="24"/>
          <w:szCs w:val="24"/>
        </w:rPr>
        <w:t>women</w:t>
      </w:r>
      <w:r w:rsidR="003C67B3">
        <w:rPr>
          <w:sz w:val="24"/>
          <w:szCs w:val="24"/>
        </w:rPr>
        <w:t>/</w:t>
      </w:r>
      <w:r w:rsidR="003C67B3" w:rsidRPr="00961EE2">
        <w:rPr>
          <w:sz w:val="24"/>
          <w:szCs w:val="24"/>
        </w:rPr>
        <w:t>blue-men</w:t>
      </w:r>
    </w:p>
    <w:p w:rsidR="00967F15" w:rsidRDefault="00967F15"/>
    <w:p w:rsidR="00967F15" w:rsidRPr="00967F15" w:rsidRDefault="00961EE2" w:rsidP="00967F15"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38D457E">
            <wp:simplePos x="0" y="0"/>
            <wp:positionH relativeFrom="column">
              <wp:posOffset>97155</wp:posOffset>
            </wp:positionH>
            <wp:positionV relativeFrom="paragraph">
              <wp:posOffset>15240</wp:posOffset>
            </wp:positionV>
            <wp:extent cx="5149850" cy="2673350"/>
            <wp:effectExtent l="0" t="0" r="12700" b="12700"/>
            <wp:wrapSquare wrapText="bothSides"/>
            <wp:docPr id="7" name="Graf 7">
              <a:extLst xmlns:a="http://schemas.openxmlformats.org/drawingml/2006/main">
                <a:ext uri="{FF2B5EF4-FFF2-40B4-BE49-F238E27FC236}">
                  <a16:creationId xmlns:a16="http://schemas.microsoft.com/office/drawing/2014/main" id="{0B0CDDE6-D244-469D-9B25-63C32C93C9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7F15" w:rsidRPr="00967F15" w:rsidRDefault="00967F15" w:rsidP="00967F15"/>
    <w:p w:rsidR="00967F15" w:rsidRPr="00967F15" w:rsidRDefault="00967F15" w:rsidP="00967F15"/>
    <w:p w:rsidR="00967F15" w:rsidRPr="00967F15" w:rsidRDefault="00967F15" w:rsidP="00967F15"/>
    <w:p w:rsidR="00967F15" w:rsidRPr="00967F15" w:rsidRDefault="00967F15" w:rsidP="00967F15"/>
    <w:p w:rsidR="00967F15" w:rsidRPr="00967F15" w:rsidRDefault="00967F15" w:rsidP="00967F15"/>
    <w:p w:rsidR="00967F15" w:rsidRPr="00967F15" w:rsidRDefault="00967F15" w:rsidP="00967F15"/>
    <w:p w:rsidR="00967F15" w:rsidRPr="00967F15" w:rsidRDefault="00967F15" w:rsidP="00967F15"/>
    <w:p w:rsidR="00967F15" w:rsidRPr="00967F15" w:rsidRDefault="00967F15" w:rsidP="00967F15"/>
    <w:p w:rsidR="00967F15" w:rsidRPr="00967F15" w:rsidRDefault="00967F15" w:rsidP="00967F15"/>
    <w:p w:rsidR="00967F15" w:rsidRPr="00967F15" w:rsidRDefault="00967F15" w:rsidP="00967F15"/>
    <w:p w:rsidR="00967F15" w:rsidRPr="00967F15" w:rsidRDefault="00967F15" w:rsidP="00967F15"/>
    <w:p w:rsidR="00967F15" w:rsidRPr="00967F15" w:rsidRDefault="00967F15" w:rsidP="00967F15"/>
    <w:p w:rsidR="00967F15" w:rsidRPr="00967F15" w:rsidRDefault="00967F15" w:rsidP="00967F15"/>
    <w:p w:rsidR="00967F15" w:rsidRPr="00967F15" w:rsidRDefault="00967F15" w:rsidP="00967F15"/>
    <w:p w:rsidR="00967F15" w:rsidRPr="00967F15" w:rsidRDefault="00967F15" w:rsidP="00967F15"/>
    <w:p w:rsidR="00967F15" w:rsidRPr="00967F15" w:rsidRDefault="00967F15" w:rsidP="00967F15"/>
    <w:p w:rsidR="00967F15" w:rsidRDefault="00967F15" w:rsidP="00967F15"/>
    <w:p w:rsidR="00967F15" w:rsidRDefault="00967F15" w:rsidP="00967F15"/>
    <w:p w:rsidR="00967F15" w:rsidRPr="00761BE8" w:rsidRDefault="00967F15" w:rsidP="00967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alibri"/>
          <w:sz w:val="18"/>
          <w:szCs w:val="18"/>
          <w:lang w:val="cs-CZ" w:eastAsia="en-GB"/>
        </w:rPr>
      </w:pPr>
    </w:p>
    <w:p w:rsidR="00306DD1" w:rsidRPr="00967F15" w:rsidRDefault="00306DD1" w:rsidP="00967F15"/>
    <w:sectPr w:rsidR="00306DD1" w:rsidRPr="00967F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7A3" w:rsidRDefault="001277A3" w:rsidP="00532995">
      <w:r>
        <w:separator/>
      </w:r>
    </w:p>
  </w:endnote>
  <w:endnote w:type="continuationSeparator" w:id="0">
    <w:p w:rsidR="001277A3" w:rsidRDefault="001277A3" w:rsidP="0053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7A3" w:rsidRDefault="001277A3" w:rsidP="00532995">
      <w:r>
        <w:separator/>
      </w:r>
    </w:p>
  </w:footnote>
  <w:footnote w:type="continuationSeparator" w:id="0">
    <w:p w:rsidR="001277A3" w:rsidRDefault="001277A3" w:rsidP="00532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995" w:rsidRPr="00532995" w:rsidRDefault="001277A3" w:rsidP="00532995">
    <w:pPr>
      <w:spacing w:before="27" w:line="256" w:lineRule="auto"/>
      <w:ind w:left="104" w:right="86" w:hanging="2"/>
      <w:rPr>
        <w:b/>
        <w:sz w:val="24"/>
        <w:szCs w:val="24"/>
        <w:lang w:val="cs-CZ"/>
      </w:rPr>
    </w:pPr>
    <w:r>
      <w:rPr>
        <w:lang w:val="cs-CZ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54.15pt;margin-top:3.1pt;width:116.5pt;height:53.85pt;z-index:251659264;mso-position-horizontal-relative:text;mso-position-vertical-relative:text">
          <v:imagedata r:id="rId1" o:title=""/>
          <w10:wrap type="square"/>
        </v:shape>
        <o:OLEObject Type="Embed" ProgID="Photoshop.Image.13" ShapeID="_x0000_s2049" DrawAspect="Content" ObjectID="_1694852937" r:id="rId2">
          <o:FieldCodes>\s</o:FieldCodes>
        </o:OLEObject>
      </w:object>
    </w:r>
    <w:r w:rsidR="00532995" w:rsidRPr="00532995">
      <w:rPr>
        <w:b/>
        <w:sz w:val="24"/>
        <w:szCs w:val="24"/>
        <w:lang w:val="cs-CZ"/>
      </w:rPr>
      <w:t>Vyhodnocení plnění Akčního plánu rovnosti žen a m</w:t>
    </w:r>
    <w:r w:rsidR="00532995">
      <w:rPr>
        <w:b/>
        <w:sz w:val="24"/>
        <w:szCs w:val="24"/>
        <w:lang w:val="cs-CZ"/>
      </w:rPr>
      <w:t>u</w:t>
    </w:r>
    <w:r w:rsidR="00532995" w:rsidRPr="00532995">
      <w:rPr>
        <w:b/>
        <w:sz w:val="24"/>
        <w:szCs w:val="24"/>
        <w:lang w:val="cs-CZ"/>
      </w:rPr>
      <w:t>žů</w:t>
    </w:r>
  </w:p>
  <w:p w:rsidR="00532995" w:rsidRPr="00532995" w:rsidRDefault="00532995" w:rsidP="00532995">
    <w:pPr>
      <w:spacing w:before="27" w:line="256" w:lineRule="auto"/>
      <w:ind w:left="104" w:right="86" w:hanging="2"/>
      <w:rPr>
        <w:b/>
        <w:sz w:val="24"/>
        <w:szCs w:val="24"/>
        <w:lang w:val="cs-CZ"/>
      </w:rPr>
    </w:pPr>
    <w:r w:rsidRPr="00532995">
      <w:rPr>
        <w:b/>
        <w:sz w:val="24"/>
        <w:szCs w:val="24"/>
        <w:lang w:val="cs-CZ"/>
      </w:rPr>
      <w:t xml:space="preserve"> </w:t>
    </w:r>
  </w:p>
  <w:p w:rsidR="006C0520" w:rsidRPr="00532995" w:rsidRDefault="00532995" w:rsidP="00532995">
    <w:pPr>
      <w:spacing w:before="27" w:line="256" w:lineRule="auto"/>
      <w:ind w:left="104" w:right="86" w:hanging="2"/>
      <w:rPr>
        <w:b/>
        <w:i/>
        <w:lang w:val="cs-CZ"/>
      </w:rPr>
    </w:pPr>
    <w:r w:rsidRPr="00532995">
      <w:rPr>
        <w:b/>
        <w:i/>
        <w:lang w:val="cs-CZ"/>
      </w:rPr>
      <w:t>Biofyziká</w:t>
    </w:r>
    <w:r>
      <w:rPr>
        <w:b/>
        <w:i/>
        <w:lang w:val="cs-CZ"/>
      </w:rPr>
      <w:t>l</w:t>
    </w:r>
    <w:r w:rsidRPr="00532995">
      <w:rPr>
        <w:b/>
        <w:i/>
        <w:lang w:val="cs-CZ"/>
      </w:rPr>
      <w:t>ní ústav Akademie věd ČR, v.</w:t>
    </w:r>
    <w:r w:rsidR="006C0520">
      <w:rPr>
        <w:b/>
        <w:i/>
        <w:lang w:val="cs-CZ"/>
      </w:rPr>
      <w:t xml:space="preserve"> </w:t>
    </w:r>
    <w:r w:rsidRPr="00532995">
      <w:rPr>
        <w:b/>
        <w:i/>
        <w:lang w:val="cs-CZ"/>
      </w:rPr>
      <w:t>v.</w:t>
    </w:r>
    <w:r w:rsidR="006C0520">
      <w:rPr>
        <w:b/>
        <w:i/>
        <w:lang w:val="cs-CZ"/>
      </w:rPr>
      <w:t xml:space="preserve"> </w:t>
    </w:r>
    <w:r w:rsidRPr="00532995">
      <w:rPr>
        <w:b/>
        <w:i/>
        <w:lang w:val="cs-CZ"/>
      </w:rPr>
      <w:t>i.</w:t>
    </w:r>
  </w:p>
  <w:p w:rsidR="00532995" w:rsidRPr="00532995" w:rsidRDefault="00532995" w:rsidP="00532995">
    <w:pPr>
      <w:spacing w:before="27" w:line="256" w:lineRule="auto"/>
      <w:ind w:left="104" w:right="86" w:hanging="2"/>
      <w:rPr>
        <w:lang w:val="cs-CZ"/>
      </w:rPr>
    </w:pPr>
  </w:p>
  <w:p w:rsidR="00532995" w:rsidRDefault="0053299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2MDAwMTQyNzawMDNX0lEKTi0uzszPAykwqQUALzqAASwAAAA="/>
  </w:docVars>
  <w:rsids>
    <w:rsidRoot w:val="004A1641"/>
    <w:rsid w:val="000038C8"/>
    <w:rsid w:val="00010068"/>
    <w:rsid w:val="00076FE5"/>
    <w:rsid w:val="00077A5F"/>
    <w:rsid w:val="000F08F3"/>
    <w:rsid w:val="001277A3"/>
    <w:rsid w:val="00132A2F"/>
    <w:rsid w:val="00167ABE"/>
    <w:rsid w:val="001C1675"/>
    <w:rsid w:val="00306DD1"/>
    <w:rsid w:val="00372E4A"/>
    <w:rsid w:val="003A7F4C"/>
    <w:rsid w:val="003B027E"/>
    <w:rsid w:val="003B1E55"/>
    <w:rsid w:val="003C67B3"/>
    <w:rsid w:val="003D5EC6"/>
    <w:rsid w:val="004A1641"/>
    <w:rsid w:val="004A3D86"/>
    <w:rsid w:val="004F2C83"/>
    <w:rsid w:val="00532995"/>
    <w:rsid w:val="005D154E"/>
    <w:rsid w:val="006672DC"/>
    <w:rsid w:val="00673D5C"/>
    <w:rsid w:val="006C0520"/>
    <w:rsid w:val="007447BC"/>
    <w:rsid w:val="00761BE8"/>
    <w:rsid w:val="007E5B61"/>
    <w:rsid w:val="00807B3D"/>
    <w:rsid w:val="00841B47"/>
    <w:rsid w:val="0084724C"/>
    <w:rsid w:val="00890460"/>
    <w:rsid w:val="008D1C36"/>
    <w:rsid w:val="008E75A4"/>
    <w:rsid w:val="0092456A"/>
    <w:rsid w:val="00925D8D"/>
    <w:rsid w:val="00961EE2"/>
    <w:rsid w:val="00967F15"/>
    <w:rsid w:val="009B5CDA"/>
    <w:rsid w:val="009E3CD8"/>
    <w:rsid w:val="009F6472"/>
    <w:rsid w:val="00A85072"/>
    <w:rsid w:val="00AD6473"/>
    <w:rsid w:val="00B579E2"/>
    <w:rsid w:val="00CE3AFA"/>
    <w:rsid w:val="00D12712"/>
    <w:rsid w:val="00D26D3C"/>
    <w:rsid w:val="00DD5DE7"/>
    <w:rsid w:val="00E02209"/>
    <w:rsid w:val="00E20D71"/>
    <w:rsid w:val="00E60BBA"/>
    <w:rsid w:val="00F021E1"/>
    <w:rsid w:val="00F57FAE"/>
    <w:rsid w:val="00F62F68"/>
    <w:rsid w:val="00F90431"/>
    <w:rsid w:val="00FA063A"/>
    <w:rsid w:val="00FA116C"/>
    <w:rsid w:val="00FB0181"/>
    <w:rsid w:val="00FB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52C4E40-535E-4D4F-BFEF-9B9494CD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A16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16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4A1641"/>
  </w:style>
  <w:style w:type="paragraph" w:styleId="Zhlav">
    <w:name w:val="header"/>
    <w:basedOn w:val="Normln"/>
    <w:link w:val="ZhlavChar"/>
    <w:uiPriority w:val="99"/>
    <w:unhideWhenUsed/>
    <w:rsid w:val="005329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2995"/>
    <w:rPr>
      <w:rFonts w:ascii="Arial" w:eastAsia="Arial" w:hAnsi="Arial" w:cs="Arial"/>
      <w:lang w:val="en-US"/>
    </w:rPr>
  </w:style>
  <w:style w:type="paragraph" w:styleId="Zpat">
    <w:name w:val="footer"/>
    <w:basedOn w:val="Normln"/>
    <w:link w:val="ZpatChar"/>
    <w:uiPriority w:val="99"/>
    <w:unhideWhenUsed/>
    <w:rsid w:val="005329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2995"/>
    <w:rPr>
      <w:rFonts w:ascii="Arial" w:eastAsia="Arial" w:hAnsi="Arial" w:cs="Arial"/>
      <w:lang w:val="en-US"/>
    </w:rPr>
  </w:style>
  <w:style w:type="paragraph" w:styleId="Normlnweb">
    <w:name w:val="Normal (Web)"/>
    <w:basedOn w:val="Normln"/>
    <w:uiPriority w:val="99"/>
    <w:semiHidden/>
    <w:unhideWhenUsed/>
    <w:rsid w:val="00841B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15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54E"/>
    <w:rPr>
      <w:rFonts w:ascii="Segoe UI" w:eastAsia="Arial" w:hAnsi="Segoe UI" w:cs="Segoe UI"/>
      <w:sz w:val="18"/>
      <w:szCs w:val="18"/>
      <w:lang w:val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967F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67F15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Standardnpsmoodstavce"/>
    <w:rsid w:val="00967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7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Eva\Desktop\Struktura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va\Desktop\Struktura%20-%20platy.xls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748677811669937"/>
          <c:y val="0.11448822788923067"/>
          <c:w val="0.84837672317987278"/>
          <c:h val="0.652755321819020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List3!$B$1</c:f>
              <c:strCache>
                <c:ptCount val="1"/>
                <c:pt idx="0">
                  <c:v>ženy</c:v>
                </c:pt>
              </c:strCache>
            </c:strRef>
          </c:tx>
          <c:spPr>
            <a:solidFill>
              <a:srgbClr val="FF66CC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List3!$A$2:$A$7</c:f>
              <c:strCache>
                <c:ptCount val="6"/>
                <c:pt idx="0">
                  <c:v>V1</c:v>
                </c:pt>
                <c:pt idx="1">
                  <c:v>V2</c:v>
                </c:pt>
                <c:pt idx="2">
                  <c:v>V3</c:v>
                </c:pt>
                <c:pt idx="3">
                  <c:v>V4</c:v>
                </c:pt>
                <c:pt idx="4">
                  <c:v>V5</c:v>
                </c:pt>
                <c:pt idx="5">
                  <c:v>V6</c:v>
                </c:pt>
              </c:strCache>
            </c:strRef>
          </c:cat>
          <c:val>
            <c:numRef>
              <c:f>List3!$B$2:$B$7</c:f>
              <c:numCache>
                <c:formatCode>General</c:formatCode>
                <c:ptCount val="6"/>
                <c:pt idx="0">
                  <c:v>9</c:v>
                </c:pt>
                <c:pt idx="1">
                  <c:v>21</c:v>
                </c:pt>
                <c:pt idx="2">
                  <c:v>16</c:v>
                </c:pt>
                <c:pt idx="3">
                  <c:v>16</c:v>
                </c:pt>
                <c:pt idx="4">
                  <c:v>15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BA-4773-9EF5-72C58501CE33}"/>
            </c:ext>
          </c:extLst>
        </c:ser>
        <c:ser>
          <c:idx val="1"/>
          <c:order val="1"/>
          <c:tx>
            <c:strRef>
              <c:f>List3!$C$1</c:f>
              <c:strCache>
                <c:ptCount val="1"/>
                <c:pt idx="0">
                  <c:v>muži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List3!$A$2:$A$7</c:f>
              <c:strCache>
                <c:ptCount val="6"/>
                <c:pt idx="0">
                  <c:v>V1</c:v>
                </c:pt>
                <c:pt idx="1">
                  <c:v>V2</c:v>
                </c:pt>
                <c:pt idx="2">
                  <c:v>V3</c:v>
                </c:pt>
                <c:pt idx="3">
                  <c:v>V4</c:v>
                </c:pt>
                <c:pt idx="4">
                  <c:v>V5</c:v>
                </c:pt>
                <c:pt idx="5">
                  <c:v>V6</c:v>
                </c:pt>
              </c:strCache>
            </c:strRef>
          </c:cat>
          <c:val>
            <c:numRef>
              <c:f>List3!$C$2:$C$7</c:f>
              <c:numCache>
                <c:formatCode>General</c:formatCode>
                <c:ptCount val="6"/>
                <c:pt idx="0">
                  <c:v>1</c:v>
                </c:pt>
                <c:pt idx="1">
                  <c:v>18</c:v>
                </c:pt>
                <c:pt idx="2">
                  <c:v>8</c:v>
                </c:pt>
                <c:pt idx="3">
                  <c:v>19</c:v>
                </c:pt>
                <c:pt idx="4">
                  <c:v>15</c:v>
                </c:pt>
                <c:pt idx="5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BA-4773-9EF5-72C58501CE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684692624"/>
        <c:axId val="-1684694800"/>
      </c:barChart>
      <c:catAx>
        <c:axId val="-1684692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-1684694800"/>
        <c:crosses val="autoZero"/>
        <c:auto val="1"/>
        <c:lblAlgn val="ctr"/>
        <c:lblOffset val="100"/>
        <c:noMultiLvlLbl val="0"/>
      </c:catAx>
      <c:valAx>
        <c:axId val="-1684694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-168469262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71598212385613969"/>
          <c:y val="0.11651519838745138"/>
          <c:w val="0.23328857353981103"/>
          <c:h val="0.129051511690809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797467326893412E-2"/>
          <c:y val="0.13498312710911137"/>
          <c:w val="0.84573002754820947"/>
          <c:h val="0.630917867550020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List3!$B$10</c:f>
              <c:strCache>
                <c:ptCount val="1"/>
                <c:pt idx="0">
                  <c:v>ženy</c:v>
                </c:pt>
              </c:strCache>
            </c:strRef>
          </c:tx>
          <c:spPr>
            <a:solidFill>
              <a:srgbClr val="FF66CC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List3!$A$11:$A$16</c:f>
              <c:strCache>
                <c:ptCount val="6"/>
                <c:pt idx="0">
                  <c:v>V1</c:v>
                </c:pt>
                <c:pt idx="1">
                  <c:v>V2</c:v>
                </c:pt>
                <c:pt idx="2">
                  <c:v>V3</c:v>
                </c:pt>
                <c:pt idx="3">
                  <c:v>V4</c:v>
                </c:pt>
                <c:pt idx="4">
                  <c:v>V5</c:v>
                </c:pt>
                <c:pt idx="5">
                  <c:v>V6</c:v>
                </c:pt>
              </c:strCache>
            </c:strRef>
          </c:cat>
          <c:val>
            <c:numRef>
              <c:f>List3!$B$11:$B$16</c:f>
              <c:numCache>
                <c:formatCode>General</c:formatCode>
                <c:ptCount val="6"/>
                <c:pt idx="0">
                  <c:v>11.2</c:v>
                </c:pt>
                <c:pt idx="1">
                  <c:v>10.5</c:v>
                </c:pt>
                <c:pt idx="2">
                  <c:v>14.6</c:v>
                </c:pt>
                <c:pt idx="3">
                  <c:v>18.2</c:v>
                </c:pt>
                <c:pt idx="4">
                  <c:v>17.7</c:v>
                </c:pt>
                <c:pt idx="5">
                  <c:v>30.6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E6-471A-833C-94FD08900290}"/>
            </c:ext>
          </c:extLst>
        </c:ser>
        <c:ser>
          <c:idx val="1"/>
          <c:order val="1"/>
          <c:tx>
            <c:strRef>
              <c:f>List3!$C$10</c:f>
              <c:strCache>
                <c:ptCount val="1"/>
                <c:pt idx="0">
                  <c:v>muži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List3!$A$11:$A$16</c:f>
              <c:strCache>
                <c:ptCount val="6"/>
                <c:pt idx="0">
                  <c:v>V1</c:v>
                </c:pt>
                <c:pt idx="1">
                  <c:v>V2</c:v>
                </c:pt>
                <c:pt idx="2">
                  <c:v>V3</c:v>
                </c:pt>
                <c:pt idx="3">
                  <c:v>V4</c:v>
                </c:pt>
                <c:pt idx="4">
                  <c:v>V5</c:v>
                </c:pt>
                <c:pt idx="5">
                  <c:v>V6</c:v>
                </c:pt>
              </c:strCache>
            </c:strRef>
          </c:cat>
          <c:val>
            <c:numRef>
              <c:f>List3!$C$11:$C$16</c:f>
              <c:numCache>
                <c:formatCode>General</c:formatCode>
                <c:ptCount val="6"/>
                <c:pt idx="0">
                  <c:v>15.5</c:v>
                </c:pt>
                <c:pt idx="1">
                  <c:v>10.8</c:v>
                </c:pt>
                <c:pt idx="2">
                  <c:v>15.4</c:v>
                </c:pt>
                <c:pt idx="3">
                  <c:v>17.399999999999999</c:v>
                </c:pt>
                <c:pt idx="4">
                  <c:v>18.8</c:v>
                </c:pt>
                <c:pt idx="5">
                  <c:v>31.9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E6-471A-833C-94FD089002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684694256"/>
        <c:axId val="-1684696976"/>
      </c:barChart>
      <c:catAx>
        <c:axId val="-1684694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-1684696976"/>
        <c:crosses val="autoZero"/>
        <c:auto val="1"/>
        <c:lblAlgn val="ctr"/>
        <c:lblOffset val="100"/>
        <c:noMultiLvlLbl val="0"/>
      </c:catAx>
      <c:valAx>
        <c:axId val="-168469697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-1684694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4030008748906386"/>
          <c:y val="2.4767809535619075E-2"/>
          <c:w val="0.26992798420858555"/>
          <c:h val="0.1254223537018502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0.37539</cdr:x>
      <cdr:y>0.87431</cdr:y>
    </cdr:from>
    <cdr:to>
      <cdr:x>0.81052</cdr:x>
      <cdr:y>0.96459</cdr:y>
    </cdr:to>
    <cdr:sp macro="" textlink="">
      <cdr:nvSpPr>
        <cdr:cNvPr id="2" name="TextovéPole 1">
          <a:extLst xmlns:a="http://schemas.openxmlformats.org/drawingml/2006/main">
            <a:ext uri="{FF2B5EF4-FFF2-40B4-BE49-F238E27FC236}">
              <a16:creationId xmlns:a16="http://schemas.microsoft.com/office/drawing/2014/main" id="{5CC21792-FA6E-43DC-ACC5-FB62AD1F7507}"/>
            </a:ext>
          </a:extLst>
        </cdr:cNvPr>
        <cdr:cNvSpPr txBox="1"/>
      </cdr:nvSpPr>
      <cdr:spPr>
        <a:xfrm xmlns:a="http://schemas.openxmlformats.org/drawingml/2006/main">
          <a:off x="1905087" y="2246849"/>
          <a:ext cx="2208250" cy="2320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1200" b="1">
              <a:latin typeface="Arial" panose="020B0604020202020204" pitchFamily="34" charset="0"/>
              <a:cs typeface="Arial" panose="020B0604020202020204" pitchFamily="34" charset="0"/>
            </a:rPr>
            <a:t>research categories</a:t>
          </a:r>
        </a:p>
      </cdr:txBody>
    </cdr:sp>
  </cdr:relSizeAnchor>
  <cdr:relSizeAnchor xmlns:cdr="http://schemas.openxmlformats.org/drawingml/2006/chartDrawing">
    <cdr:from>
      <cdr:x>0.02034</cdr:x>
      <cdr:y>0.24422</cdr:y>
    </cdr:from>
    <cdr:to>
      <cdr:x>0.0652</cdr:x>
      <cdr:y>0.51968</cdr:y>
    </cdr:to>
    <cdr:sp macro="" textlink="">
      <cdr:nvSpPr>
        <cdr:cNvPr id="3" name="TextovéPole 2">
          <a:extLst xmlns:a="http://schemas.openxmlformats.org/drawingml/2006/main">
            <a:ext uri="{FF2B5EF4-FFF2-40B4-BE49-F238E27FC236}">
              <a16:creationId xmlns:a16="http://schemas.microsoft.com/office/drawing/2014/main" id="{2A695375-9734-4FAC-AE5C-CC566DFB6048}"/>
            </a:ext>
          </a:extLst>
        </cdr:cNvPr>
        <cdr:cNvSpPr txBox="1"/>
      </cdr:nvSpPr>
      <cdr:spPr>
        <a:xfrm xmlns:a="http://schemas.openxmlformats.org/drawingml/2006/main" rot="16200000">
          <a:off x="-143805" y="969307"/>
          <a:ext cx="794975" cy="2660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/>
        </a:p>
      </cdr:txBody>
    </cdr:sp>
  </cdr:relSizeAnchor>
  <cdr:relSizeAnchor xmlns:cdr="http://schemas.openxmlformats.org/drawingml/2006/chartDrawing">
    <cdr:from>
      <cdr:x>0.00252</cdr:x>
      <cdr:y>0.45134</cdr:y>
    </cdr:from>
    <cdr:to>
      <cdr:x>0.04541</cdr:x>
      <cdr:y>0.57061</cdr:y>
    </cdr:to>
    <cdr:sp macro="" textlink="">
      <cdr:nvSpPr>
        <cdr:cNvPr id="4" name="TextovéPole 3">
          <a:extLst xmlns:a="http://schemas.openxmlformats.org/drawingml/2006/main">
            <a:ext uri="{FF2B5EF4-FFF2-40B4-BE49-F238E27FC236}">
              <a16:creationId xmlns:a16="http://schemas.microsoft.com/office/drawing/2014/main" id="{398CA603-F3E0-4F24-8209-968C62813D86}"/>
            </a:ext>
          </a:extLst>
        </cdr:cNvPr>
        <cdr:cNvSpPr txBox="1"/>
      </cdr:nvSpPr>
      <cdr:spPr>
        <a:xfrm xmlns:a="http://schemas.openxmlformats.org/drawingml/2006/main" rot="16200000">
          <a:off x="-47625" y="1565275"/>
          <a:ext cx="396875" cy="269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1400" b="1">
              <a:latin typeface="Arial" panose="020B0604020202020204" pitchFamily="34" charset="0"/>
              <a:cs typeface="Arial" panose="020B0604020202020204" pitchFamily="34" charset="0"/>
            </a:rPr>
            <a:t>numbers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0.0062</cdr:x>
      <cdr:y>0.26209</cdr:y>
    </cdr:from>
    <cdr:to>
      <cdr:x>0.06956</cdr:x>
      <cdr:y>0.51631</cdr:y>
    </cdr:to>
    <cdr:sp macro="" textlink="">
      <cdr:nvSpPr>
        <cdr:cNvPr id="3" name="TextovéPole 2">
          <a:extLst xmlns:a="http://schemas.openxmlformats.org/drawingml/2006/main">
            <a:ext uri="{FF2B5EF4-FFF2-40B4-BE49-F238E27FC236}">
              <a16:creationId xmlns:a16="http://schemas.microsoft.com/office/drawing/2014/main" id="{3B7D4796-AA0C-45EC-A3E9-69373B59ED98}"/>
            </a:ext>
          </a:extLst>
        </cdr:cNvPr>
        <cdr:cNvSpPr txBox="1"/>
      </cdr:nvSpPr>
      <cdr:spPr>
        <a:xfrm xmlns:a="http://schemas.openxmlformats.org/drawingml/2006/main" rot="16200000">
          <a:off x="-184150" y="952500"/>
          <a:ext cx="717550" cy="2921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1400" b="1">
              <a:latin typeface="Arial" panose="020B0604020202020204" pitchFamily="34" charset="0"/>
              <a:cs typeface="Arial" panose="020B0604020202020204" pitchFamily="34" charset="0"/>
            </a:rPr>
            <a:t>salary</a:t>
          </a:r>
        </a:p>
      </cdr:txBody>
    </cdr:sp>
  </cdr:relSizeAnchor>
  <cdr:relSizeAnchor xmlns:cdr="http://schemas.openxmlformats.org/drawingml/2006/chartDrawing">
    <cdr:from>
      <cdr:x>0.33292</cdr:x>
      <cdr:y>0.85986</cdr:y>
    </cdr:from>
    <cdr:to>
      <cdr:x>0.64782</cdr:x>
      <cdr:y>0.97844</cdr:y>
    </cdr:to>
    <cdr:pic>
      <cdr:nvPicPr>
        <cdr:cNvPr id="5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714500" y="2298700"/>
          <a:ext cx="1621677" cy="317019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435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BFÚ AV ČR, v.v.i.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4</cp:revision>
  <cp:lastPrinted>2021-01-28T13:10:00Z</cp:lastPrinted>
  <dcterms:created xsi:type="dcterms:W3CDTF">2021-10-03T17:49:00Z</dcterms:created>
  <dcterms:modified xsi:type="dcterms:W3CDTF">2021-10-04T09:43:00Z</dcterms:modified>
</cp:coreProperties>
</file>