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309" w14:textId="77777777" w:rsidR="000E3573" w:rsidRDefault="000E3573" w:rsidP="004E6F70">
      <w:pPr>
        <w:spacing w:line="276" w:lineRule="auto"/>
        <w:rPr>
          <w:rFonts w:ascii="Arial" w:hAnsi="Arial" w:cs="Arial"/>
          <w:b/>
          <w:sz w:val="28"/>
        </w:rPr>
      </w:pPr>
    </w:p>
    <w:p w14:paraId="4FA1707B" w14:textId="7DF7087D" w:rsidR="00BA045A" w:rsidRDefault="00786F51" w:rsidP="00BA045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786F51">
        <w:rPr>
          <w:rFonts w:ascii="Arial" w:hAnsi="Arial" w:cs="Arial"/>
          <w:b/>
          <w:bCs/>
          <w:sz w:val="28"/>
        </w:rPr>
        <w:t>NKC – gender a věda zahajuje v Praze nový evropský projekt. Jeho cílem je posílení genderové rovnosti v Evropském výzkumném prostoru</w:t>
      </w:r>
    </w:p>
    <w:p w14:paraId="4F39865E" w14:textId="568F3AED" w:rsidR="0062236B" w:rsidRDefault="001360AD" w:rsidP="00786F51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br/>
      </w:r>
      <w:r w:rsidR="00786F51">
        <w:rPr>
          <w:rFonts w:ascii="Arial" w:hAnsi="Arial" w:cs="Arial"/>
          <w:b/>
        </w:rPr>
        <w:t>6</w:t>
      </w:r>
      <w:r w:rsidR="0062236B" w:rsidRPr="0062236B">
        <w:rPr>
          <w:rFonts w:ascii="Arial" w:hAnsi="Arial" w:cs="Arial"/>
          <w:b/>
        </w:rPr>
        <w:t xml:space="preserve">. </w:t>
      </w:r>
      <w:r w:rsidR="00786F51">
        <w:rPr>
          <w:rFonts w:ascii="Arial" w:hAnsi="Arial" w:cs="Arial"/>
          <w:b/>
        </w:rPr>
        <w:t>června</w:t>
      </w:r>
      <w:r w:rsidR="0062236B" w:rsidRPr="0062236B">
        <w:rPr>
          <w:rFonts w:ascii="Arial" w:hAnsi="Arial" w:cs="Arial"/>
          <w:b/>
        </w:rPr>
        <w:t xml:space="preserve"> 20</w:t>
      </w:r>
      <w:r w:rsidR="00BA045A">
        <w:rPr>
          <w:rFonts w:ascii="Arial" w:hAnsi="Arial" w:cs="Arial"/>
          <w:b/>
        </w:rPr>
        <w:t>22</w:t>
      </w:r>
      <w:r w:rsidR="0062236B" w:rsidRPr="0062236B">
        <w:rPr>
          <w:rFonts w:ascii="Arial" w:hAnsi="Arial" w:cs="Arial"/>
          <w:b/>
        </w:rPr>
        <w:t xml:space="preserve">, Praha | </w:t>
      </w:r>
      <w:r w:rsidR="00C3586D">
        <w:rPr>
          <w:rFonts w:ascii="Arial" w:hAnsi="Arial" w:cs="Arial"/>
          <w:b/>
          <w:bCs/>
        </w:rPr>
        <w:t xml:space="preserve">Ve dnech </w:t>
      </w:r>
      <w:r w:rsidR="00786F51" w:rsidRPr="00786F51">
        <w:rPr>
          <w:rFonts w:ascii="Arial" w:hAnsi="Arial" w:cs="Arial"/>
          <w:b/>
          <w:bCs/>
        </w:rPr>
        <w:t xml:space="preserve">8. – 10. června 2022 se v Praze uskuteční zahajovací setkání projektu Horizontu Evropa </w:t>
      </w:r>
      <w:proofErr w:type="spellStart"/>
      <w:r w:rsidR="00786F51" w:rsidRPr="00786F51">
        <w:rPr>
          <w:rFonts w:ascii="Arial" w:hAnsi="Arial" w:cs="Arial"/>
          <w:b/>
          <w:bCs/>
        </w:rPr>
        <w:t>GENDERACTIONplus</w:t>
      </w:r>
      <w:proofErr w:type="spellEnd"/>
      <w:r w:rsidR="00786F51" w:rsidRPr="00786F51">
        <w:rPr>
          <w:rFonts w:ascii="Arial" w:hAnsi="Arial" w:cs="Arial"/>
          <w:b/>
          <w:bCs/>
        </w:rPr>
        <w:t xml:space="preserve">, </w:t>
      </w:r>
      <w:r w:rsidR="00786F51">
        <w:rPr>
          <w:rFonts w:ascii="Arial" w:hAnsi="Arial" w:cs="Arial"/>
          <w:b/>
          <w:bCs/>
        </w:rPr>
        <w:t>který koordinuje NKC – gender a </w:t>
      </w:r>
      <w:r w:rsidR="00786F51" w:rsidRPr="00786F51">
        <w:rPr>
          <w:rFonts w:ascii="Arial" w:hAnsi="Arial" w:cs="Arial"/>
          <w:b/>
          <w:bCs/>
        </w:rPr>
        <w:t>věda Sociologického ústavu AV ČR. Cílem konsorcia složeného z 26 národních úřadů, grantových agentur a výzkumných organizací z celkem 21 evropských zemích, je prohloubit evropskou spolupráci a přispět k větší koordinaci v oblasti genderové rovnosti ve výzkumu.</w:t>
      </w:r>
      <w:r w:rsidR="00AD016F">
        <w:rPr>
          <w:rFonts w:ascii="Arial" w:hAnsi="Arial" w:cs="Arial"/>
          <w:i/>
        </w:rPr>
        <w:t xml:space="preserve"> </w:t>
      </w:r>
    </w:p>
    <w:p w14:paraId="302C196C" w14:textId="77777777" w:rsidR="00786F51" w:rsidRPr="00786F51" w:rsidRDefault="00786F51" w:rsidP="00786F51">
      <w:pPr>
        <w:spacing w:after="0" w:line="276" w:lineRule="auto"/>
        <w:jc w:val="both"/>
        <w:rPr>
          <w:rFonts w:ascii="Arial" w:hAnsi="Arial" w:cs="Arial"/>
          <w:i/>
        </w:rPr>
      </w:pPr>
    </w:p>
    <w:p w14:paraId="5E30DB66" w14:textId="77777777" w:rsidR="00786F51" w:rsidRPr="00786F51" w:rsidRDefault="00786F51" w:rsidP="00786F51">
      <w:pPr>
        <w:spacing w:line="276" w:lineRule="auto"/>
        <w:jc w:val="both"/>
        <w:rPr>
          <w:rFonts w:ascii="Arial" w:hAnsi="Arial" w:cs="Arial"/>
        </w:rPr>
      </w:pPr>
      <w:r w:rsidRPr="00786F51">
        <w:rPr>
          <w:rFonts w:ascii="Arial" w:hAnsi="Arial" w:cs="Arial"/>
        </w:rPr>
        <w:t xml:space="preserve">Konsorcium se v následujících třech letech ve své činnosti </w:t>
      </w:r>
      <w:proofErr w:type="gramStart"/>
      <w:r w:rsidRPr="00786F51">
        <w:rPr>
          <w:rFonts w:ascii="Arial" w:hAnsi="Arial" w:cs="Arial"/>
        </w:rPr>
        <w:t>zaměří</w:t>
      </w:r>
      <w:proofErr w:type="gramEnd"/>
      <w:r w:rsidRPr="00786F51">
        <w:rPr>
          <w:rFonts w:ascii="Arial" w:hAnsi="Arial" w:cs="Arial"/>
        </w:rPr>
        <w:t xml:space="preserve"> na pět klíčových oblastí. Půjde například o to monitorovat aktivity na podporu genderové rovnosti v Evropě, vytvořit nástroje pro hodnocení toho, jak se </w:t>
      </w:r>
      <w:proofErr w:type="gramStart"/>
      <w:r w:rsidRPr="00786F51">
        <w:rPr>
          <w:rFonts w:ascii="Arial" w:hAnsi="Arial" w:cs="Arial"/>
        </w:rPr>
        <w:t>daří</w:t>
      </w:r>
      <w:proofErr w:type="gramEnd"/>
      <w:r w:rsidRPr="00786F51">
        <w:rPr>
          <w:rFonts w:ascii="Arial" w:hAnsi="Arial" w:cs="Arial"/>
        </w:rPr>
        <w:t xml:space="preserve"> naplnit a jaké jsou dopady plánů genderové rovnosti. Dalším tématem jsou politiky v oblasti genderově podmíněného násilí, včetně sexuálního obtěžování v akademickém prostředí nebo genderová dimenze v obsahu bádání. Poslední oblastí je, jak zahrnout do výzkumu provázanost mezi různými formami potenciálních znevýhodnění, jako je gender, etnicita, zdravotní znevýhodnění či sexuální orientace. </w:t>
      </w:r>
    </w:p>
    <w:p w14:paraId="135DB917" w14:textId="39955E43" w:rsidR="00786F51" w:rsidRPr="00786F51" w:rsidRDefault="00786F51" w:rsidP="00786F51">
      <w:pPr>
        <w:spacing w:line="276" w:lineRule="auto"/>
        <w:jc w:val="both"/>
        <w:rPr>
          <w:rFonts w:ascii="Arial" w:hAnsi="Arial" w:cs="Arial"/>
        </w:rPr>
      </w:pPr>
      <w:r w:rsidRPr="00786F51">
        <w:rPr>
          <w:rFonts w:ascii="Arial" w:hAnsi="Arial" w:cs="Arial"/>
        </w:rPr>
        <w:t>„Oblasti, kterým se projekt věnuje, jsou navázány na stávající evropské priority včetně těch z</w:t>
      </w:r>
      <w:r>
        <w:rPr>
          <w:rFonts w:ascii="Arial" w:hAnsi="Arial" w:cs="Arial"/>
        </w:rPr>
        <w:t> </w:t>
      </w:r>
      <w:hyperlink r:id="rId7" w:history="1">
        <w:r w:rsidRPr="00786F51">
          <w:rPr>
            <w:rStyle w:val="Hypertextovodkaz"/>
            <w:rFonts w:ascii="Arial" w:hAnsi="Arial" w:cs="Arial"/>
          </w:rPr>
          <w:t>Lublaňské deklarace</w:t>
        </w:r>
      </w:hyperlink>
      <w:r w:rsidRPr="00786F51">
        <w:rPr>
          <w:rFonts w:ascii="Arial" w:hAnsi="Arial" w:cs="Arial"/>
        </w:rPr>
        <w:t xml:space="preserve"> z roku 2021. Významným tématem, které je nyní i u nás aktuální, je genderově podmíněné násilí a sexuální obtě</w:t>
      </w:r>
      <w:r>
        <w:rPr>
          <w:rFonts w:ascii="Arial" w:hAnsi="Arial" w:cs="Arial"/>
        </w:rPr>
        <w:t xml:space="preserve">žování v akademickém prostředí. </w:t>
      </w:r>
      <w:proofErr w:type="spellStart"/>
      <w:r w:rsidRPr="00786F51">
        <w:rPr>
          <w:rFonts w:ascii="Arial" w:hAnsi="Arial" w:cs="Arial"/>
        </w:rPr>
        <w:t>GENDERACTIONplus</w:t>
      </w:r>
      <w:proofErr w:type="spellEnd"/>
      <w:r w:rsidRPr="00786F51">
        <w:rPr>
          <w:rFonts w:ascii="Arial" w:hAnsi="Arial" w:cs="Arial"/>
        </w:rPr>
        <w:t xml:space="preserve"> proto bude úzce spolupracovat s dalším evropským projektem </w:t>
      </w:r>
      <w:hyperlink r:id="rId8" w:history="1">
        <w:proofErr w:type="spellStart"/>
        <w:r w:rsidRPr="00786F51">
          <w:rPr>
            <w:rStyle w:val="Hypertextovodkaz"/>
            <w:rFonts w:ascii="Arial" w:hAnsi="Arial" w:cs="Arial"/>
          </w:rPr>
          <w:t>UniSAFE</w:t>
        </w:r>
        <w:proofErr w:type="spellEnd"/>
      </w:hyperlink>
      <w:r w:rsidRPr="00786F51">
        <w:rPr>
          <w:rFonts w:ascii="Arial" w:hAnsi="Arial" w:cs="Arial"/>
        </w:rPr>
        <w:t xml:space="preserve">, na kterém se NKC – gender a věda podílí. Výsledky projektu </w:t>
      </w:r>
      <w:proofErr w:type="spellStart"/>
      <w:r w:rsidRPr="00786F51">
        <w:rPr>
          <w:rFonts w:ascii="Arial" w:hAnsi="Arial" w:cs="Arial"/>
        </w:rPr>
        <w:t>UniSAFE</w:t>
      </w:r>
      <w:proofErr w:type="spellEnd"/>
      <w:r w:rsidRPr="00786F51">
        <w:rPr>
          <w:rFonts w:ascii="Arial" w:hAnsi="Arial" w:cs="Arial"/>
        </w:rPr>
        <w:t xml:space="preserve"> zaměřené na výskyt tohoto jevu a přístupy k jeho řešení představíme na podzim </w:t>
      </w:r>
      <w:r w:rsidR="00255CBB">
        <w:rPr>
          <w:rFonts w:ascii="Arial" w:hAnsi="Arial" w:cs="Arial"/>
        </w:rPr>
        <w:t>na konferenci konané v rámci</w:t>
      </w:r>
      <w:r w:rsidRPr="00786F51">
        <w:rPr>
          <w:rFonts w:ascii="Arial" w:hAnsi="Arial" w:cs="Arial"/>
        </w:rPr>
        <w:t xml:space="preserve"> českého předsednictví</w:t>
      </w:r>
      <w:r w:rsidR="00255CBB">
        <w:rPr>
          <w:rFonts w:ascii="Arial" w:hAnsi="Arial" w:cs="Arial"/>
        </w:rPr>
        <w:t xml:space="preserve"> v Radě EU</w:t>
      </w:r>
      <w:r w:rsidRPr="00786F51">
        <w:rPr>
          <w:rFonts w:ascii="Arial" w:hAnsi="Arial" w:cs="Arial"/>
        </w:rPr>
        <w:t xml:space="preserve">,“ uvedla Marcela Linková, vedoucí NKC – gender a věda a koordinátorka projektu </w:t>
      </w:r>
      <w:proofErr w:type="spellStart"/>
      <w:r w:rsidRPr="00786F51">
        <w:rPr>
          <w:rFonts w:ascii="Arial" w:hAnsi="Arial" w:cs="Arial"/>
        </w:rPr>
        <w:t>GENDERACTIONplus</w:t>
      </w:r>
      <w:proofErr w:type="spellEnd"/>
      <w:r w:rsidRPr="00786F51">
        <w:rPr>
          <w:rFonts w:ascii="Arial" w:hAnsi="Arial" w:cs="Arial"/>
        </w:rPr>
        <w:t>.</w:t>
      </w:r>
    </w:p>
    <w:p w14:paraId="0D926374" w14:textId="4840A93B" w:rsidR="00786F51" w:rsidRPr="00786F51" w:rsidRDefault="00786F51" w:rsidP="00786F51">
      <w:pPr>
        <w:spacing w:line="276" w:lineRule="auto"/>
        <w:jc w:val="both"/>
        <w:rPr>
          <w:rFonts w:ascii="Arial" w:hAnsi="Arial" w:cs="Arial"/>
        </w:rPr>
      </w:pPr>
      <w:r w:rsidRPr="00786F51">
        <w:rPr>
          <w:rFonts w:ascii="Arial" w:hAnsi="Arial" w:cs="Arial"/>
        </w:rPr>
        <w:t xml:space="preserve">Své cíle bude nově zahajovaný projekt </w:t>
      </w:r>
      <w:proofErr w:type="spellStart"/>
      <w:r w:rsidRPr="00786F51">
        <w:rPr>
          <w:rFonts w:ascii="Arial" w:hAnsi="Arial" w:cs="Arial"/>
        </w:rPr>
        <w:t>GENDERACTIONplus</w:t>
      </w:r>
      <w:proofErr w:type="spellEnd"/>
      <w:r w:rsidRPr="00786F51">
        <w:rPr>
          <w:rFonts w:ascii="Arial" w:hAnsi="Arial" w:cs="Arial"/>
        </w:rPr>
        <w:t xml:space="preserve"> naplňovat prostřednictvím vzdělávacích aktivit, výměny zkušeností a poskytováním strategi</w:t>
      </w:r>
      <w:r>
        <w:rPr>
          <w:rFonts w:ascii="Arial" w:hAnsi="Arial" w:cs="Arial"/>
        </w:rPr>
        <w:t>ckých doporučení pro evropské i </w:t>
      </w:r>
      <w:r w:rsidRPr="00786F51">
        <w:rPr>
          <w:rFonts w:ascii="Arial" w:hAnsi="Arial" w:cs="Arial"/>
        </w:rPr>
        <w:t xml:space="preserve">národní organizace odpovědné za výzkum a vývoj. V rámci projektu vzniknou dvě komunity pro sdílení praxe. Jednu budou tvořit zástupci a zástupkyně ministerstev a dalších národních úřadů, druhou pak poskytovatelé finanční podpory. V obou skupinách budou také zástupci a zástupkyně akademické a expertní veřejnosti. </w:t>
      </w:r>
    </w:p>
    <w:p w14:paraId="43FE002E" w14:textId="77777777" w:rsidR="00786F51" w:rsidRPr="00786F51" w:rsidRDefault="00786F51" w:rsidP="00786F51">
      <w:pPr>
        <w:spacing w:line="276" w:lineRule="auto"/>
        <w:jc w:val="both"/>
        <w:rPr>
          <w:rFonts w:ascii="Arial" w:hAnsi="Arial" w:cs="Arial"/>
        </w:rPr>
      </w:pPr>
      <w:r w:rsidRPr="00786F51">
        <w:rPr>
          <w:rFonts w:ascii="Arial" w:hAnsi="Arial" w:cs="Arial"/>
        </w:rPr>
        <w:t xml:space="preserve">Projekt </w:t>
      </w:r>
      <w:proofErr w:type="spellStart"/>
      <w:r w:rsidRPr="00786F51">
        <w:rPr>
          <w:rFonts w:ascii="Arial" w:hAnsi="Arial" w:cs="Arial"/>
        </w:rPr>
        <w:t>GENDERACTIONplus</w:t>
      </w:r>
      <w:proofErr w:type="spellEnd"/>
      <w:r w:rsidRPr="00786F51">
        <w:rPr>
          <w:rFonts w:ascii="Arial" w:hAnsi="Arial" w:cs="Arial"/>
        </w:rPr>
        <w:t xml:space="preserve"> navazuje na projekt Horizontu 2020 </w:t>
      </w:r>
      <w:hyperlink r:id="rId9" w:history="1">
        <w:r w:rsidRPr="00786F51">
          <w:rPr>
            <w:rStyle w:val="Hypertextovodkaz"/>
            <w:rFonts w:ascii="Arial" w:hAnsi="Arial" w:cs="Arial"/>
          </w:rPr>
          <w:t>GENDERACTION</w:t>
        </w:r>
      </w:hyperlink>
      <w:r w:rsidRPr="00786F51">
        <w:rPr>
          <w:rFonts w:ascii="Arial" w:hAnsi="Arial" w:cs="Arial"/>
        </w:rPr>
        <w:t>, který NKC – gender a věda koordinovalo mezi roky 2017 a 2021, dále také na práci Stálé pracovní skupiny pro gender ve výzkumu a inovacích Komise pro Evropský výzkumný prostor (</w:t>
      </w:r>
      <w:proofErr w:type="spellStart"/>
      <w:r w:rsidR="000529D2">
        <w:fldChar w:fldCharType="begin"/>
      </w:r>
      <w:r w:rsidR="000529D2">
        <w:instrText xml:space="preserve"> HYPERLINK "https://genderaction.eu/policy-advice/erac-swggri/" </w:instrText>
      </w:r>
      <w:r w:rsidR="000529D2">
        <w:fldChar w:fldCharType="separate"/>
      </w:r>
      <w:r w:rsidRPr="00786F51">
        <w:rPr>
          <w:rStyle w:val="Hypertextovodkaz"/>
          <w:rFonts w:ascii="Arial" w:hAnsi="Arial" w:cs="Arial"/>
        </w:rPr>
        <w:t>Standing</w:t>
      </w:r>
      <w:proofErr w:type="spellEnd"/>
      <w:r w:rsidRPr="00786F51">
        <w:rPr>
          <w:rStyle w:val="Hypertextovodkaz"/>
          <w:rFonts w:ascii="Arial" w:hAnsi="Arial" w:cs="Arial"/>
        </w:rPr>
        <w:t xml:space="preserve"> </w:t>
      </w:r>
      <w:proofErr w:type="spellStart"/>
      <w:r w:rsidRPr="00786F51">
        <w:rPr>
          <w:rStyle w:val="Hypertextovodkaz"/>
          <w:rFonts w:ascii="Arial" w:hAnsi="Arial" w:cs="Arial"/>
        </w:rPr>
        <w:t>Working</w:t>
      </w:r>
      <w:proofErr w:type="spellEnd"/>
      <w:r w:rsidRPr="00786F51">
        <w:rPr>
          <w:rStyle w:val="Hypertextovodkaz"/>
          <w:rFonts w:ascii="Arial" w:hAnsi="Arial" w:cs="Arial"/>
        </w:rPr>
        <w:t xml:space="preserve"> Group on Gender in </w:t>
      </w:r>
      <w:proofErr w:type="spellStart"/>
      <w:r w:rsidRPr="00786F51">
        <w:rPr>
          <w:rStyle w:val="Hypertextovodkaz"/>
          <w:rFonts w:ascii="Arial" w:hAnsi="Arial" w:cs="Arial"/>
        </w:rPr>
        <w:t>Research</w:t>
      </w:r>
      <w:proofErr w:type="spellEnd"/>
      <w:r w:rsidRPr="00786F51">
        <w:rPr>
          <w:rStyle w:val="Hypertextovodkaz"/>
          <w:rFonts w:ascii="Arial" w:hAnsi="Arial" w:cs="Arial"/>
        </w:rPr>
        <w:t xml:space="preserve"> and Innovation</w:t>
      </w:r>
      <w:r w:rsidR="000529D2">
        <w:rPr>
          <w:rStyle w:val="Hypertextovodkaz"/>
          <w:rFonts w:ascii="Arial" w:hAnsi="Arial" w:cs="Arial"/>
        </w:rPr>
        <w:fldChar w:fldCharType="end"/>
      </w:r>
      <w:r w:rsidRPr="00786F51">
        <w:rPr>
          <w:rFonts w:ascii="Arial" w:hAnsi="Arial" w:cs="Arial"/>
        </w:rPr>
        <w:t xml:space="preserve"> - SWG GRI) a v neposlední řadě na působení komunity pro sdílení praxe </w:t>
      </w:r>
      <w:hyperlink r:id="rId10" w:history="1">
        <w:r w:rsidRPr="00786F51">
          <w:rPr>
            <w:rStyle w:val="Hypertextovodkaz"/>
            <w:rFonts w:ascii="Arial" w:hAnsi="Arial" w:cs="Arial"/>
          </w:rPr>
          <w:t>FORGEN,</w:t>
        </w:r>
      </w:hyperlink>
      <w:r w:rsidRPr="00786F51">
        <w:rPr>
          <w:rFonts w:ascii="Arial" w:hAnsi="Arial" w:cs="Arial"/>
        </w:rPr>
        <w:t xml:space="preserve"> která působila v rámci ukončeného projektu Horizontu 2020 </w:t>
      </w:r>
      <w:hyperlink r:id="rId11" w:history="1">
        <w:r w:rsidRPr="00786F51">
          <w:rPr>
            <w:rStyle w:val="Hypertextovodkaz"/>
            <w:rFonts w:ascii="Arial" w:hAnsi="Arial" w:cs="Arial"/>
          </w:rPr>
          <w:t>ACT</w:t>
        </w:r>
      </w:hyperlink>
      <w:r w:rsidRPr="00786F51">
        <w:rPr>
          <w:rFonts w:ascii="Arial" w:hAnsi="Arial" w:cs="Arial"/>
        </w:rPr>
        <w:t>.</w:t>
      </w:r>
    </w:p>
    <w:p w14:paraId="463CDC92" w14:textId="77777777" w:rsidR="00C3586D" w:rsidRDefault="00C3586D" w:rsidP="0062236B">
      <w:pPr>
        <w:spacing w:line="276" w:lineRule="auto"/>
        <w:rPr>
          <w:rFonts w:ascii="Arial" w:hAnsi="Arial" w:cs="Arial"/>
          <w:b/>
          <w:sz w:val="24"/>
        </w:rPr>
      </w:pPr>
    </w:p>
    <w:p w14:paraId="684D52DF" w14:textId="2B5064EF" w:rsidR="0062236B" w:rsidRPr="0062236B" w:rsidRDefault="0062236B" w:rsidP="0062236B">
      <w:pPr>
        <w:spacing w:line="276" w:lineRule="auto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lastRenderedPageBreak/>
        <w:t>Kontakt</w:t>
      </w:r>
    </w:p>
    <w:p w14:paraId="2906AA73" w14:textId="3DB9FA32" w:rsidR="001360AD" w:rsidRDefault="00C3586D" w:rsidP="001360AD">
      <w:pPr>
        <w:rPr>
          <w:rFonts w:ascii="Arial" w:hAnsi="Arial" w:cs="Arial"/>
        </w:rPr>
      </w:pPr>
      <w:r w:rsidRPr="00C3586D">
        <w:rPr>
          <w:rFonts w:ascii="Arial" w:hAnsi="Arial" w:cs="Arial"/>
        </w:rPr>
        <w:t xml:space="preserve">Hana Tenglerová, </w:t>
      </w:r>
      <w:hyperlink r:id="rId12" w:history="1">
        <w:r w:rsidRPr="00C3586D">
          <w:rPr>
            <w:rStyle w:val="Hypertextovodkaz"/>
            <w:rFonts w:ascii="Arial" w:hAnsi="Arial" w:cs="Arial"/>
          </w:rPr>
          <w:t>hana.tenglerova@soc.cas.cz</w:t>
        </w:r>
      </w:hyperlink>
      <w:r w:rsidRPr="00C3586D">
        <w:rPr>
          <w:rFonts w:ascii="Arial" w:hAnsi="Arial" w:cs="Arial"/>
        </w:rPr>
        <w:br/>
        <w:t>776 252</w:t>
      </w:r>
      <w:r w:rsidR="007E13C2">
        <w:rPr>
          <w:rFonts w:ascii="Arial" w:hAnsi="Arial" w:cs="Arial"/>
        </w:rPr>
        <w:t> </w:t>
      </w:r>
      <w:r w:rsidRPr="00C3586D">
        <w:rPr>
          <w:rFonts w:ascii="Arial" w:hAnsi="Arial" w:cs="Arial"/>
        </w:rPr>
        <w:t>762</w:t>
      </w:r>
    </w:p>
    <w:p w14:paraId="07694461" w14:textId="22C029B5" w:rsidR="007E13C2" w:rsidRDefault="007E13C2" w:rsidP="001360AD">
      <w:pPr>
        <w:rPr>
          <w:rFonts w:ascii="Arial" w:hAnsi="Arial" w:cs="Arial"/>
        </w:rPr>
      </w:pPr>
    </w:p>
    <w:p w14:paraId="410CD18E" w14:textId="25F3384C" w:rsidR="007E13C2" w:rsidRDefault="007E13C2" w:rsidP="001360AD">
      <w:pPr>
        <w:rPr>
          <w:rFonts w:ascii="Arial" w:hAnsi="Arial" w:cs="Arial"/>
        </w:rPr>
      </w:pPr>
    </w:p>
    <w:p w14:paraId="48444B20" w14:textId="77777777" w:rsidR="006C1803" w:rsidRDefault="006C1803" w:rsidP="007E13C2">
      <w:pPr>
        <w:rPr>
          <w:rFonts w:ascii="Arial" w:hAnsi="Arial" w:cs="Arial"/>
        </w:rPr>
      </w:pPr>
    </w:p>
    <w:p w14:paraId="3253DB3B" w14:textId="77777777" w:rsidR="006C1803" w:rsidRDefault="006C1803" w:rsidP="007E13C2">
      <w:pPr>
        <w:rPr>
          <w:rFonts w:ascii="Arial" w:hAnsi="Arial" w:cs="Arial"/>
        </w:rPr>
      </w:pPr>
    </w:p>
    <w:p w14:paraId="2A754752" w14:textId="77777777" w:rsidR="006C1803" w:rsidRDefault="006C1803" w:rsidP="007E13C2">
      <w:pPr>
        <w:rPr>
          <w:rFonts w:ascii="Arial" w:hAnsi="Arial" w:cs="Arial"/>
        </w:rPr>
      </w:pPr>
    </w:p>
    <w:p w14:paraId="09117C93" w14:textId="77777777" w:rsidR="006C1803" w:rsidRDefault="006C1803" w:rsidP="007E13C2">
      <w:pPr>
        <w:rPr>
          <w:rFonts w:ascii="Arial" w:hAnsi="Arial" w:cs="Arial"/>
        </w:rPr>
      </w:pPr>
    </w:p>
    <w:p w14:paraId="27EC918D" w14:textId="77777777" w:rsidR="006C1803" w:rsidRDefault="006C1803" w:rsidP="007E13C2">
      <w:pPr>
        <w:rPr>
          <w:rFonts w:ascii="Arial" w:hAnsi="Arial" w:cs="Arial"/>
        </w:rPr>
      </w:pPr>
    </w:p>
    <w:p w14:paraId="2DA0DCF6" w14:textId="77777777" w:rsidR="006C1803" w:rsidRDefault="006C1803" w:rsidP="007E13C2">
      <w:pPr>
        <w:rPr>
          <w:rFonts w:ascii="Arial" w:hAnsi="Arial" w:cs="Arial"/>
        </w:rPr>
      </w:pPr>
    </w:p>
    <w:p w14:paraId="2ABCE07C" w14:textId="77777777" w:rsidR="006C1803" w:rsidRDefault="006C1803" w:rsidP="007E13C2">
      <w:pPr>
        <w:rPr>
          <w:rFonts w:ascii="Arial" w:hAnsi="Arial" w:cs="Arial"/>
        </w:rPr>
      </w:pPr>
    </w:p>
    <w:p w14:paraId="75360852" w14:textId="77777777" w:rsidR="006C1803" w:rsidRDefault="006C1803" w:rsidP="007E13C2">
      <w:pPr>
        <w:rPr>
          <w:rFonts w:ascii="Arial" w:hAnsi="Arial" w:cs="Arial"/>
        </w:rPr>
      </w:pPr>
    </w:p>
    <w:p w14:paraId="41AF0C12" w14:textId="77777777" w:rsidR="006C1803" w:rsidRDefault="006C1803" w:rsidP="007E13C2">
      <w:pPr>
        <w:rPr>
          <w:rFonts w:ascii="Arial" w:hAnsi="Arial" w:cs="Arial"/>
        </w:rPr>
      </w:pPr>
    </w:p>
    <w:p w14:paraId="6F7D78AD" w14:textId="77777777" w:rsidR="006C1803" w:rsidRDefault="006C1803" w:rsidP="007E13C2">
      <w:pPr>
        <w:rPr>
          <w:rFonts w:ascii="Arial" w:hAnsi="Arial" w:cs="Arial"/>
        </w:rPr>
      </w:pPr>
    </w:p>
    <w:p w14:paraId="0B16CE63" w14:textId="77777777" w:rsidR="006C1803" w:rsidRDefault="006C1803" w:rsidP="007E13C2">
      <w:pPr>
        <w:rPr>
          <w:rFonts w:ascii="Arial" w:hAnsi="Arial" w:cs="Arial"/>
        </w:rPr>
      </w:pPr>
    </w:p>
    <w:p w14:paraId="584C37C8" w14:textId="77777777" w:rsidR="006C1803" w:rsidRDefault="006C1803" w:rsidP="007E13C2">
      <w:pPr>
        <w:rPr>
          <w:rFonts w:ascii="Arial" w:hAnsi="Arial" w:cs="Arial"/>
        </w:rPr>
      </w:pPr>
    </w:p>
    <w:p w14:paraId="7D32E053" w14:textId="77777777" w:rsidR="006C1803" w:rsidRDefault="006C1803" w:rsidP="007E13C2">
      <w:pPr>
        <w:rPr>
          <w:rFonts w:ascii="Arial" w:hAnsi="Arial" w:cs="Arial"/>
        </w:rPr>
      </w:pPr>
    </w:p>
    <w:p w14:paraId="0A54F272" w14:textId="77777777" w:rsidR="006C1803" w:rsidRDefault="006C1803" w:rsidP="007E13C2">
      <w:pPr>
        <w:rPr>
          <w:rFonts w:ascii="Arial" w:hAnsi="Arial" w:cs="Arial"/>
        </w:rPr>
      </w:pPr>
    </w:p>
    <w:p w14:paraId="5CBF83FD" w14:textId="77777777" w:rsidR="006C1803" w:rsidRDefault="006C1803" w:rsidP="007E13C2">
      <w:pPr>
        <w:rPr>
          <w:rFonts w:ascii="Arial" w:hAnsi="Arial" w:cs="Arial"/>
        </w:rPr>
      </w:pPr>
    </w:p>
    <w:p w14:paraId="58462DD6" w14:textId="77777777" w:rsidR="006C1803" w:rsidRDefault="006C1803" w:rsidP="007E13C2">
      <w:pPr>
        <w:rPr>
          <w:rFonts w:ascii="Arial" w:hAnsi="Arial" w:cs="Arial"/>
        </w:rPr>
      </w:pPr>
    </w:p>
    <w:p w14:paraId="660EE18C" w14:textId="77777777" w:rsidR="006C1803" w:rsidRDefault="006C1803" w:rsidP="007E13C2">
      <w:pPr>
        <w:rPr>
          <w:rFonts w:ascii="Arial" w:hAnsi="Arial" w:cs="Arial"/>
        </w:rPr>
      </w:pPr>
    </w:p>
    <w:p w14:paraId="7C57D1A4" w14:textId="77777777" w:rsidR="006C1803" w:rsidRDefault="006C1803" w:rsidP="007E13C2">
      <w:pPr>
        <w:rPr>
          <w:rFonts w:ascii="Arial" w:hAnsi="Arial" w:cs="Arial"/>
        </w:rPr>
      </w:pPr>
    </w:p>
    <w:p w14:paraId="3CC5F32A" w14:textId="09D2F042" w:rsidR="007E13C2" w:rsidRPr="007E13C2" w:rsidRDefault="00C87956" w:rsidP="007E13C2">
      <w:pPr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7E13C2" w:rsidRPr="007E13C2">
        <w:rPr>
          <w:rFonts w:ascii="Arial" w:hAnsi="Arial" w:cs="Arial"/>
        </w:rPr>
        <w:t xml:space="preserve"> </w:t>
      </w:r>
      <w:proofErr w:type="spellStart"/>
      <w:r w:rsidR="007E13C2" w:rsidRPr="007E13C2">
        <w:rPr>
          <w:rFonts w:ascii="Arial" w:hAnsi="Arial" w:cs="Arial"/>
        </w:rPr>
        <w:t>GENDERACTIONPlus</w:t>
      </w:r>
      <w:proofErr w:type="spellEnd"/>
      <w:r w:rsidR="007E13C2" w:rsidRPr="007E13C2">
        <w:rPr>
          <w:rFonts w:ascii="Arial" w:hAnsi="Arial" w:cs="Arial"/>
        </w:rPr>
        <w:t xml:space="preserve"> je podporován z výzkumného a inovačního programu Evropské unie Horizont Evropa (číslo grantové smlouvy: 101058093). </w:t>
      </w:r>
    </w:p>
    <w:p w14:paraId="110E6A27" w14:textId="77777777" w:rsidR="007E13C2" w:rsidRPr="007E13C2" w:rsidRDefault="007E13C2" w:rsidP="007E13C2">
      <w:pPr>
        <w:rPr>
          <w:rFonts w:ascii="Arial" w:hAnsi="Arial" w:cs="Arial"/>
        </w:rPr>
      </w:pPr>
      <w:r w:rsidRPr="007E13C2">
        <w:rPr>
          <w:rFonts w:ascii="Arial" w:hAnsi="Arial" w:cs="Arial"/>
        </w:rPr>
        <w:t>Vyjádřené pohledy a názory jsou názorem autora/autorky (autorů/autorek) a nemusí nutně odrážet názory Evropské unie. Evropská unie ani poskytovatel finanční podpory za ně nemohou nést odpovědnost.</w:t>
      </w:r>
    </w:p>
    <w:p w14:paraId="375A83DC" w14:textId="55AB7198" w:rsidR="00A875F3" w:rsidRPr="001360AD" w:rsidRDefault="00A875F3" w:rsidP="001360AD">
      <w:pPr>
        <w:rPr>
          <w:rFonts w:ascii="Arial" w:hAnsi="Arial" w:cs="Arial"/>
        </w:rPr>
      </w:pPr>
    </w:p>
    <w:sectPr w:rsidR="00A875F3" w:rsidRPr="001360AD" w:rsidSect="0062236B">
      <w:headerReference w:type="default" r:id="rId13"/>
      <w:footerReference w:type="default" r:id="rId14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8062" w14:textId="77777777" w:rsidR="000529D2" w:rsidRDefault="000529D2" w:rsidP="00B526FA">
      <w:pPr>
        <w:spacing w:after="0" w:line="240" w:lineRule="auto"/>
      </w:pPr>
      <w:r>
        <w:separator/>
      </w:r>
    </w:p>
  </w:endnote>
  <w:endnote w:type="continuationSeparator" w:id="0">
    <w:p w14:paraId="4BAFB1C0" w14:textId="77777777" w:rsidR="000529D2" w:rsidRDefault="000529D2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77777777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proofErr w:type="gramStart"/>
          <w:r>
            <w:rPr>
              <w:rFonts w:ascii="Arial" w:hAnsi="Arial" w:cs="Arial"/>
              <w:color w:val="0072B6"/>
              <w:sz w:val="20"/>
              <w:szCs w:val="20"/>
            </w:rPr>
            <w:t xml:space="preserve">NKC </w:t>
          </w:r>
          <w:r w:rsidRPr="00414C15">
            <w:rPr>
              <w:rFonts w:ascii="Arial" w:hAnsi="Arial" w:cs="Arial"/>
              <w:color w:val="0072B6"/>
              <w:sz w:val="20"/>
              <w:szCs w:val="20"/>
            </w:rPr>
            <w:t>-gender</w:t>
          </w:r>
          <w:proofErr w:type="gramEnd"/>
          <w:r w:rsidRPr="00414C15">
            <w:rPr>
              <w:rFonts w:ascii="Arial" w:hAnsi="Arial" w:cs="Arial"/>
              <w:color w:val="0072B6"/>
              <w:sz w:val="20"/>
              <w:szCs w:val="20"/>
            </w:rPr>
            <w:t xml:space="preserve">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68D84045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CB6A73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CB6A73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7A16" w14:textId="77777777" w:rsidR="000529D2" w:rsidRDefault="000529D2" w:rsidP="00B526FA">
      <w:pPr>
        <w:spacing w:after="0" w:line="240" w:lineRule="auto"/>
      </w:pPr>
      <w:r>
        <w:separator/>
      </w:r>
    </w:p>
  </w:footnote>
  <w:footnote w:type="continuationSeparator" w:id="0">
    <w:p w14:paraId="2C543315" w14:textId="77777777" w:rsidR="000529D2" w:rsidRDefault="000529D2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529D2"/>
    <w:rsid w:val="000D3B8E"/>
    <w:rsid w:val="000E3573"/>
    <w:rsid w:val="000F000E"/>
    <w:rsid w:val="000F15C4"/>
    <w:rsid w:val="0010353B"/>
    <w:rsid w:val="001360AD"/>
    <w:rsid w:val="001D2A42"/>
    <w:rsid w:val="00230D72"/>
    <w:rsid w:val="00255CBB"/>
    <w:rsid w:val="0026504F"/>
    <w:rsid w:val="00282864"/>
    <w:rsid w:val="002E6885"/>
    <w:rsid w:val="003207B2"/>
    <w:rsid w:val="00346C0E"/>
    <w:rsid w:val="00353A8B"/>
    <w:rsid w:val="00354140"/>
    <w:rsid w:val="003E47BF"/>
    <w:rsid w:val="003F271F"/>
    <w:rsid w:val="004131D1"/>
    <w:rsid w:val="00414B6D"/>
    <w:rsid w:val="00414C15"/>
    <w:rsid w:val="0042176B"/>
    <w:rsid w:val="0047303C"/>
    <w:rsid w:val="004E6F70"/>
    <w:rsid w:val="0050051C"/>
    <w:rsid w:val="005F1971"/>
    <w:rsid w:val="0062236B"/>
    <w:rsid w:val="0063642B"/>
    <w:rsid w:val="00654AA9"/>
    <w:rsid w:val="006A1B34"/>
    <w:rsid w:val="006C1325"/>
    <w:rsid w:val="006C1803"/>
    <w:rsid w:val="00786F51"/>
    <w:rsid w:val="007B40B0"/>
    <w:rsid w:val="007E13C2"/>
    <w:rsid w:val="008147C7"/>
    <w:rsid w:val="008A5034"/>
    <w:rsid w:val="00954FFD"/>
    <w:rsid w:val="009C37BA"/>
    <w:rsid w:val="00A06E76"/>
    <w:rsid w:val="00A1715A"/>
    <w:rsid w:val="00A875F3"/>
    <w:rsid w:val="00AA7C18"/>
    <w:rsid w:val="00AD016F"/>
    <w:rsid w:val="00B416ED"/>
    <w:rsid w:val="00B526FA"/>
    <w:rsid w:val="00B57347"/>
    <w:rsid w:val="00BA045A"/>
    <w:rsid w:val="00BC6B14"/>
    <w:rsid w:val="00C331FB"/>
    <w:rsid w:val="00C3586D"/>
    <w:rsid w:val="00C87956"/>
    <w:rsid w:val="00CA1E70"/>
    <w:rsid w:val="00CB6A73"/>
    <w:rsid w:val="00CF2475"/>
    <w:rsid w:val="00E20775"/>
    <w:rsid w:val="00E37AE6"/>
    <w:rsid w:val="00E613A8"/>
    <w:rsid w:val="00E967CE"/>
    <w:rsid w:val="00ED6AFE"/>
    <w:rsid w:val="00ED6EC9"/>
    <w:rsid w:val="00F03A96"/>
    <w:rsid w:val="00F70EAD"/>
    <w:rsid w:val="00FA268E"/>
    <w:rsid w:val="00FB2943"/>
    <w:rsid w:val="00FC5412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.cas.cz/projekt/unisaf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nderaveda.cz/lublanska-deklarace-genderove-rovnosti/" TargetMode="External"/><Relationship Id="rId12" Type="http://schemas.openxmlformats.org/officeDocument/2006/relationships/hyperlink" Target="mailto:hana.tenglerova@soc.c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ct-on-gender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gen.act-on-gende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deraction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5FA6-7E10-42BF-B2BD-EADBC0E3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Spěváčková Martina</cp:lastModifiedBy>
  <cp:revision>2</cp:revision>
  <cp:lastPrinted>2022-06-06T08:56:00Z</cp:lastPrinted>
  <dcterms:created xsi:type="dcterms:W3CDTF">2022-06-06T11:23:00Z</dcterms:created>
  <dcterms:modified xsi:type="dcterms:W3CDTF">2022-06-06T11:23:00Z</dcterms:modified>
</cp:coreProperties>
</file>