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734050" cy="2171700"/>
            <wp:effectExtent b="0" l="0" r="0" t="0"/>
            <wp:docPr descr="https://lh3.googleusercontent.com/20WJPpuOWr6NV2zHQnT7UuZJ5Ax0yd7uRB-TpX54z9mpZsa7_dSg92RqMGigpApFOpZetMlNH32gdtFR82sYM3n-a10rva0lhxNpl49yqrPO2V13OxQSKGBViUpv7XaaRh11kEEmWQmEwFFnT9bO7NLXu5xYSM9bbkGDn5D5hvRScnWeYZUzkVIN7g" id="1" name="image1.jpg"/>
            <a:graphic>
              <a:graphicData uri="http://schemas.openxmlformats.org/drawingml/2006/picture">
                <pic:pic>
                  <pic:nvPicPr>
                    <pic:cNvPr descr="https://lh3.googleusercontent.com/20WJPpuOWr6NV2zHQnT7UuZJ5Ax0yd7uRB-TpX54z9mpZsa7_dSg92RqMGigpApFOpZetMlNH32gdtFR82sYM3n-a10rva0lhxNpl49yqrPO2V13OxQSKGBViUpv7XaaRh11kEEmWQmEwFFnT9bO7NLXu5xYSM9bbkGDn5D5hvRScnWeYZUzkVIN7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Nový typ imunitní odpovědi proti bakteriím ve střevě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Praha, 30. 10. 2023, Přírodovědecká fakulta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Vědci z laboratoře Jana Dobeše objevili nový typ imunitní odpovědi na střevním epitelu a současně popsali i mechanismus, který celý systém reguluje. Na studii,  publikované v prestižním imunologickém časopise Journal of Experimental Medicine, se podíleli Tomáš Brabec a Jan Dobeš a další členové Laboratoře mikrobiální imunologie z Přírodovědecké fakulty Univerzity Karlovy ve spolupráci s vědci z laboratoří Martina Schwarzera a Dominika Filippa z Akademie věd a Jakuba Abramsona z Weizmannova institutu v Izraeli.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Ve střevech máme spoustu různých bakterií, které jsou pro nás nějakým způsobem výhodné – pomáhají nám trávit, dávají nám vitamíny a dalo by se říci, že školí náš imunitní systém. Už dlouho je známo, že střevní </w:t>
      </w:r>
      <w:r w:rsidDel="00000000" w:rsidR="00000000" w:rsidRPr="00000000">
        <w:rPr>
          <w:rtl w:val="0"/>
        </w:rPr>
        <w:t xml:space="preserve">mikrobiom </w:t>
      </w:r>
      <w:r w:rsidDel="00000000" w:rsidR="00000000" w:rsidRPr="00000000">
        <w:rPr>
          <w:rtl w:val="0"/>
        </w:rPr>
        <w:t xml:space="preserve">je velmi důležitý. Zároveň je ale potřeba tyto bakterie nějak kontrolovat, protože jinak by mohly přerůst a způsobovat zánětlivé choroby nebo jinak poškodit náš organismus.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Nová studie se zaměřuje na jednu </w:t>
      </w:r>
      <w:r w:rsidDel="00000000" w:rsidR="00000000" w:rsidRPr="00000000">
        <w:rPr>
          <w:rtl w:val="0"/>
        </w:rPr>
        <w:t xml:space="preserve">konkrétní</w:t>
      </w:r>
      <w:r w:rsidDel="00000000" w:rsidR="00000000" w:rsidRPr="00000000">
        <w:rPr>
          <w:rtl w:val="0"/>
        </w:rPr>
        <w:t xml:space="preserve"> bakterii, která je v imunologii dobře známá. </w:t>
      </w:r>
      <w:r w:rsidDel="00000000" w:rsidR="00000000" w:rsidRPr="00000000">
        <w:rPr>
          <w:i w:val="1"/>
          <w:rtl w:val="0"/>
        </w:rPr>
        <w:t xml:space="preserve">„Segmentovaná filamentozní bakterie, neboli SFB, je studovaná především v myších, ale mají ji i jiní obratlovci včetně člověka. U lidí ji nacházíme jen v relativně specifických kontextech. Zdá se, že západní dieta SFB bakterii úplně nesvědčí, ale například ve střední Africe se dají najít lidé, kteří tuto bakterii běžně mají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 představuje studovanou bakterii Tomáš Brabec.</w:t>
      </w:r>
      <w:r w:rsidDel="00000000" w:rsidR="00000000" w:rsidRPr="00000000">
        <w:rPr>
          <w:color w:val="444746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color w:val="444746"/>
          <w:rtl w:val="0"/>
        </w:rPr>
        <w:t xml:space="preserve">Tato bakterie je specifická tím, že je schopná pronikat do slizničních buněk, podobně jako patogenní bakterie, ale sama o sobě nezpůsobuje žádné onemocněn</w:t>
      </w:r>
      <w:r w:rsidDel="00000000" w:rsidR="00000000" w:rsidRPr="00000000">
        <w:rPr>
          <w:color w:val="444746"/>
          <w:rtl w:val="0"/>
        </w:rPr>
        <w:t xml:space="preserve">í,“ dodává Tomáš Brabec.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Jedním z hlavních mechanismů imunitního systému je takzvaná </w:t>
      </w:r>
      <w:r w:rsidDel="00000000" w:rsidR="00000000" w:rsidRPr="00000000">
        <w:rPr>
          <w:rtl w:val="0"/>
        </w:rPr>
        <w:t xml:space="preserve">antigenně</w:t>
      </w:r>
      <w:r w:rsidDel="00000000" w:rsidR="00000000" w:rsidRPr="00000000">
        <w:rPr>
          <w:rtl w:val="0"/>
        </w:rPr>
        <w:t xml:space="preserve"> specifická odpověď, která slouží k rozpoznávání a eliminaci cizích molekul v organismu. </w:t>
      </w:r>
      <w:r w:rsidDel="00000000" w:rsidR="00000000" w:rsidRPr="00000000">
        <w:rPr>
          <w:i w:val="1"/>
          <w:rtl w:val="0"/>
        </w:rPr>
        <w:t xml:space="preserve">„Zjednodušeně řečeno to funguje tak, že v těle existují takzvané antigen prezentující buňky, kde MHC molekuly slouží jako jakési podstavce pro prezentování částí proteinů - například z bakterií, což vede k nastartování specifické imunitní odpovědi“,</w:t>
      </w:r>
      <w:r w:rsidDel="00000000" w:rsidR="00000000" w:rsidRPr="00000000">
        <w:rPr>
          <w:rtl w:val="0"/>
        </w:rPr>
        <w:t xml:space="preserve"> vysvětluje Jan Dobeš. Takzvané MHCII molekuly pak prezentují kousky proteinů z vnějších zdrojů, tedy například z patogenů. Tuto funkci v těle zastávají hlavně dendritické buňky, ale dřívější studie objevily, že MHCII molekulu můžeme najít i na epiteliálních buňkách střeva. </w:t>
      </w:r>
      <w:r w:rsidDel="00000000" w:rsidR="00000000" w:rsidRPr="00000000">
        <w:rPr>
          <w:i w:val="1"/>
          <w:rtl w:val="0"/>
        </w:rPr>
        <w:t xml:space="preserve">„Střeva mají obrovský povrch, takže MHCII </w:t>
      </w:r>
      <w:r w:rsidDel="00000000" w:rsidR="00000000" w:rsidRPr="00000000">
        <w:rPr>
          <w:i w:val="1"/>
          <w:rtl w:val="0"/>
        </w:rPr>
        <w:t xml:space="preserve">pozitivních</w:t>
      </w:r>
      <w:r w:rsidDel="00000000" w:rsidR="00000000" w:rsidRPr="00000000">
        <w:rPr>
          <w:i w:val="1"/>
          <w:rtl w:val="0"/>
        </w:rPr>
        <w:t xml:space="preserve"> buněk v nich můžeme mít obrovské množství. Je proto dost paradoxní, že dosud nikdo netušil, proč tam jsou a co tam vlastně dělají,“</w:t>
      </w:r>
      <w:r w:rsidDel="00000000" w:rsidR="00000000" w:rsidRPr="00000000">
        <w:rPr>
          <w:rtl w:val="0"/>
        </w:rPr>
        <w:t xml:space="preserve"> dodává Tomáš Brabec.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i w:val="1"/>
          <w:rtl w:val="0"/>
        </w:rPr>
        <w:t xml:space="preserve">„Nápad na studii vznikl nezávisle na dvou místech zároveň. Když jsem byl během svého působení v Izraeli na návštěvě Čech, říkal jsem Tomášovi, že při kvasinkové infekci vidím nějaké změny MHCII na střevním epitelu a že bych se na tuto skutečnost chtěl zaměřit ve své budoucí laboratoři. Tomáš tou dobou pracoval v Ústavu molekulární genetiky ve skupině Dominika Filippa a už měl rozpracovanou část příběhu o SFB bakteriích a jejich vlivu na MHCII ve střevním epitelu. Rozhodli jsme se tedy společně objasnit, k čemu MHCII na střevním epitelu slouží“</w:t>
      </w:r>
      <w:r w:rsidDel="00000000" w:rsidR="00000000" w:rsidRPr="00000000">
        <w:rPr>
          <w:rtl w:val="0"/>
        </w:rPr>
        <w:t xml:space="preserve"> popisuje Jan Dobeš zrod nové studie, která vznikla nezávisle v Izraeli a Praze a pro kterou byla po celou dobu nenahraditelná spolupráce s laboratoří Martina Schwarzera, která je </w:t>
      </w:r>
      <w:r w:rsidDel="00000000" w:rsidR="00000000" w:rsidRPr="00000000">
        <w:rPr>
          <w:rtl w:val="0"/>
        </w:rPr>
        <w:t xml:space="preserve">schopna</w:t>
      </w:r>
      <w:r w:rsidDel="00000000" w:rsidR="00000000" w:rsidRPr="00000000">
        <w:rPr>
          <w:rtl w:val="0"/>
        </w:rPr>
        <w:t xml:space="preserve"> produkovat bezmikrobní myši a cíleně je osazovat SFB. Tomáš Brabec popisuje, že výstupy prvních specificky zaměřených analýz by pro mnohé mohly být zklamáním, avšak autoři se rozhodli bádat dál a využít složitějších technik. </w:t>
      </w:r>
      <w:r w:rsidDel="00000000" w:rsidR="00000000" w:rsidRPr="00000000">
        <w:rPr>
          <w:i w:val="1"/>
          <w:rtl w:val="0"/>
        </w:rPr>
        <w:t xml:space="preserve">„Díky metodě single cell RNA sekvenování jsme byli schopni zjistit úplně všechno, co se s danou buňkou děje, aniž bychom se museli zaměřit na analýzu konkrétní imunitní reakce.“</w:t>
      </w:r>
      <w:r w:rsidDel="00000000" w:rsidR="00000000" w:rsidRPr="00000000">
        <w:rPr>
          <w:rtl w:val="0"/>
        </w:rPr>
        <w:t xml:space="preserve"> vysvětluje zvolenou metodu Tomáš Brabec.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Výsledkem neúnavného tříletého pátrání a využití moderních přístupů je objev nového typu imunitní odpovědi namířené proti SFB bakterii. Jedná se o podobný mechanismus, který se používá například proti virům. Při této imunitní odpovědi dochází k tvorbě specifických enzymů, takzvaných granzymů v T lymfocytech, buňkách které antigen prezentující buňky aktivují. </w:t>
      </w:r>
      <w:r w:rsidDel="00000000" w:rsidR="00000000" w:rsidRPr="00000000">
        <w:rPr>
          <w:i w:val="1"/>
          <w:rtl w:val="0"/>
        </w:rPr>
        <w:t xml:space="preserve">„Paradoxní je, že se granzymy exprimují v MHCII aktivovaných T buňkách, což se běžně neděje, protože tyto buňky slouží  spíše jako pomocníci jiných buněk imunitního systému. Zde se z nich naopak stali aktivní zabijáci schopni  eliminovat buňky,“</w:t>
      </w:r>
      <w:r w:rsidDel="00000000" w:rsidR="00000000" w:rsidRPr="00000000">
        <w:rPr>
          <w:rtl w:val="0"/>
        </w:rPr>
        <w:t xml:space="preserve"> dodává Tomáš Brabec. Autoři studie tak popsali nový typ imunitní odpovědi i mechanismus, který celý systém reguluje. Ukázali také, že MHCII na epitelu, T buňky produkující granzymy i přítomnost SFB bakterie regulují rychlost obnovy střevního epitelu.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Odkaz na článek: </w:t>
      </w:r>
      <w:r w:rsidDel="00000000" w:rsidR="00000000" w:rsidRPr="00000000">
        <w:rPr>
          <w:rtl w:val="0"/>
        </w:rPr>
        <w:t xml:space="preserve">Tomáš Brabec, Martin Schwarzer, Katarína Kováčová, Martina Dobešová, Dagmar Schierová, Jiří Březina, Iva Pacáková, Dagmar Šrůtková, Osher Ben-Nun, Yael Goldfarb, Iva Šplíchalová, Michal Kolář, Jakub Abramson, Dominik Filipp, Jan Dobeš; Segmented filamentous bacteria–induced epithelial MHCII regulates cognate CD4</w:t>
      </w: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rtl w:val="0"/>
        </w:rPr>
        <w:t xml:space="preserve"> IELs and epithelial turnover. J Exp Med 1 January 2024; 221 (1): e20230194. doi: </w:t>
      </w:r>
      <w:hyperlink r:id="rId8">
        <w:r w:rsidDel="00000000" w:rsidR="00000000" w:rsidRPr="00000000">
          <w:rPr>
            <w:color w:val="0000ff"/>
            <w:rtl w:val="0"/>
          </w:rPr>
          <w:t xml:space="preserve">https://doi.org/10.1084/jem.20230194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25D5A"/>
    <w:pPr>
      <w:spacing w:after="4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D25D5A"/>
    <w:pPr>
      <w:keepNext w:val="1"/>
      <w:keepLines w:val="1"/>
      <w:spacing w:after="120" w:before="360"/>
      <w:outlineLvl w:val="0"/>
    </w:pPr>
    <w:rPr>
      <w:rFonts w:cstheme="majorBidi" w:eastAsiaTheme="majorEastAsia"/>
      <w:b w:val="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D25D5A"/>
    <w:pPr>
      <w:keepNext w:val="1"/>
      <w:keepLines w:val="1"/>
      <w:spacing w:after="120" w:before="160"/>
      <w:outlineLvl w:val="1"/>
    </w:pPr>
    <w:rPr>
      <w:rFonts w:cstheme="majorBidi" w:eastAsiaTheme="majorEastAsia"/>
      <w:b w:val="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D25D5A"/>
    <w:pPr>
      <w:keepNext w:val="1"/>
      <w:keepLines w:val="1"/>
      <w:spacing w:after="0" w:before="40"/>
      <w:outlineLvl w:val="2"/>
    </w:pPr>
    <w:rPr>
      <w:rFonts w:cstheme="majorBidi" w:eastAsiaTheme="majorEastAsia"/>
      <w:i w:val="1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D25D5A"/>
    <w:rPr>
      <w:rFonts w:ascii="Times New Roman" w:hAnsi="Times New Roman" w:cstheme="majorBidi" w:eastAsiaTheme="majorEastAsia"/>
      <w:b w:val="1"/>
      <w:sz w:val="28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D25D5A"/>
    <w:rPr>
      <w:rFonts w:ascii="Times New Roman" w:hAnsi="Times New Roman" w:cstheme="majorBidi" w:eastAsiaTheme="majorEastAsia"/>
      <w:b w:val="1"/>
      <w:sz w:val="24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D25D5A"/>
    <w:rPr>
      <w:rFonts w:ascii="Times New Roman" w:hAnsi="Times New Roman" w:cstheme="majorBidi" w:eastAsiaTheme="majorEastAsia"/>
      <w:i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oi.org/10.1084/jem.2023019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/UE1hG2q0QaTzh0gO2QsBHhdg==">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2023-10-13T11:45:00Z</dcterms:created>
  <dc:creator>Veronika</dc:creator>
</cp:coreProperties>
</file>